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9F9E" w14:textId="77777777" w:rsidR="00364682" w:rsidRDefault="0036468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46E61BDB" w14:textId="77777777" w:rsidR="00364682" w:rsidRDefault="008D2DD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466EB69" wp14:editId="0B61F523">
                <wp:simplePos x="0" y="0"/>
                <wp:positionH relativeFrom="column">
                  <wp:posOffset>114300</wp:posOffset>
                </wp:positionH>
                <wp:positionV relativeFrom="paragraph">
                  <wp:posOffset>660400</wp:posOffset>
                </wp:positionV>
                <wp:extent cx="6015038" cy="200025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5950" y="3770475"/>
                          <a:ext cx="588010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660400</wp:posOffset>
                </wp:positionV>
                <wp:extent cx="6015038" cy="200025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5038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05F8F6" wp14:editId="282CC684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828800" cy="762000"/>
            <wp:effectExtent l="0" t="0" r="0" b="0"/>
            <wp:wrapTopAndBottom distT="0" distB="0"/>
            <wp:docPr id="18" name="image1.png" descr="Oregon Library Association words in black next to green graphic of an outline of the state of Oregon with the initials &quot;OLA&quot; insid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regon Library Association words in black next to green graphic of an outline of the state of Oregon with the initials &quot;OLA&quot; inside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C787E3" w14:textId="77777777" w:rsidR="00364682" w:rsidRDefault="00364682">
      <w:pPr>
        <w:widowControl w:val="0"/>
        <w:spacing w:line="240" w:lineRule="auto"/>
        <w:rPr>
          <w:rFonts w:ascii="Calibri" w:eastAsia="Calibri" w:hAnsi="Calibri" w:cs="Calibri"/>
          <w:b/>
          <w:sz w:val="16"/>
          <w:szCs w:val="16"/>
        </w:rPr>
      </w:pPr>
    </w:p>
    <w:p w14:paraId="75B4D572" w14:textId="77777777" w:rsidR="00364682" w:rsidRDefault="008D2DD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Oregon Library Association</w:t>
      </w:r>
    </w:p>
    <w:p w14:paraId="356D6948" w14:textId="77777777" w:rsidR="00364682" w:rsidRDefault="008D2DDF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Special Executive Board Meeting - Lobbyist</w:t>
      </w:r>
    </w:p>
    <w:p w14:paraId="416CB42A" w14:textId="77777777" w:rsidR="00364682" w:rsidRDefault="008D2DDF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7, 2024, 8:00 a.m. - 9:00 a.m.</w:t>
      </w:r>
    </w:p>
    <w:p w14:paraId="02489444" w14:textId="77777777" w:rsidR="00364682" w:rsidRDefault="008D2DDF">
      <w:pPr>
        <w:widowControl w:val="0"/>
        <w:spacing w:line="240" w:lineRule="auto"/>
        <w:jc w:val="center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Location: </w:t>
      </w:r>
      <w:hyperlink r:id="rId9">
        <w:r>
          <w:rPr>
            <w:rFonts w:ascii="Calibri" w:eastAsia="Calibri" w:hAnsi="Calibri" w:cs="Calibri"/>
            <w:color w:val="1155CC"/>
            <w:sz w:val="23"/>
            <w:szCs w:val="23"/>
            <w:highlight w:val="white"/>
            <w:u w:val="single"/>
          </w:rPr>
          <w:t>https://us02web.zoom.us/j/88248971840?pwd=YKn0bF9YmBs2iy3ykKlkJ27rJ1H6v0.1</w:t>
        </w:r>
      </w:hyperlink>
      <w:r>
        <w:rPr>
          <w:rFonts w:ascii="Calibri" w:eastAsia="Calibri" w:hAnsi="Calibri" w:cs="Calibri"/>
          <w:sz w:val="23"/>
          <w:szCs w:val="23"/>
          <w:highlight w:val="white"/>
        </w:rPr>
        <w:t xml:space="preserve"> (Zoom 2)</w:t>
      </w:r>
    </w:p>
    <w:p w14:paraId="356CA27C" w14:textId="77777777" w:rsidR="00364682" w:rsidRDefault="008D2DDF">
      <w:pPr>
        <w:widowControl w:val="0"/>
        <w:spacing w:line="240" w:lineRule="auto"/>
        <w:jc w:val="center"/>
        <w:rPr>
          <w:rFonts w:ascii="Calibri" w:eastAsia="Calibri" w:hAnsi="Calibri" w:cs="Calibri"/>
          <w:sz w:val="23"/>
          <w:szCs w:val="23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>Minutes approved ______________</w:t>
      </w:r>
    </w:p>
    <w:p w14:paraId="23A24837" w14:textId="77777777" w:rsidR="00364682" w:rsidRDefault="008D2DDF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Agenda (n/a)</w:t>
      </w:r>
    </w:p>
    <w:p w14:paraId="23B9364E" w14:textId="77777777" w:rsidR="00364682" w:rsidRDefault="00364682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3651D63" w14:textId="77777777" w:rsidR="00364682" w:rsidRDefault="008D2DD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Present: </w:t>
      </w:r>
      <w:r>
        <w:rPr>
          <w:rFonts w:ascii="Calibri" w:eastAsia="Calibri" w:hAnsi="Calibri" w:cs="Calibri"/>
          <w:sz w:val="24"/>
          <w:szCs w:val="24"/>
        </w:rPr>
        <w:t>Ericka Brunson-Rochette (</w:t>
      </w:r>
      <w:r>
        <w:rPr>
          <w:rFonts w:ascii="Calibri" w:eastAsia="Calibri" w:hAnsi="Calibri" w:cs="Calibri"/>
          <w:sz w:val="24"/>
          <w:szCs w:val="24"/>
        </w:rPr>
        <w:t xml:space="preserve">OLA President), Ayn Reyes Frazee (OLA Vice President), Star Khan (Past OLA President), Roxanne M. Renteria (OLA Secretary), Shirley Roberts (Association Manager), Buzzy Nielsen (OLA Parliamentarian), </w:t>
      </w:r>
      <w:proofErr w:type="spellStart"/>
      <w:r>
        <w:rPr>
          <w:rFonts w:ascii="Calibri" w:eastAsia="Calibri" w:hAnsi="Calibri" w:cs="Calibri"/>
          <w:sz w:val="24"/>
          <w:szCs w:val="24"/>
        </w:rPr>
        <w:t>Liisa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Sjoblom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(Leadership Committee), Emily O’Neal (IFC </w:t>
      </w:r>
      <w:r>
        <w:rPr>
          <w:rFonts w:ascii="Calibri" w:eastAsia="Calibri" w:hAnsi="Calibri" w:cs="Calibri"/>
          <w:sz w:val="24"/>
          <w:szCs w:val="24"/>
        </w:rPr>
        <w:t xml:space="preserve">Chair), </w:t>
      </w:r>
      <w:proofErr w:type="spellStart"/>
      <w:r>
        <w:rPr>
          <w:rFonts w:ascii="Calibri" w:eastAsia="Calibri" w:hAnsi="Calibri" w:cs="Calibri"/>
          <w:sz w:val="24"/>
          <w:szCs w:val="24"/>
        </w:rPr>
        <w:t>LaRee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Dominguez (OLA EDIA Co-Chair), Jeremy Skinner (Legislative Committee Co-Chair), and Kate Laskey (Legislative Committee Co-Chair).</w:t>
      </w:r>
    </w:p>
    <w:p w14:paraId="29252AA5" w14:textId="77777777" w:rsidR="00364682" w:rsidRDefault="00364682">
      <w:pPr>
        <w:spacing w:line="240" w:lineRule="auto"/>
        <w:rPr>
          <w:rFonts w:ascii="Calibri" w:eastAsia="Calibri" w:hAnsi="Calibri" w:cs="Calibri"/>
          <w:color w:val="B7B7B7"/>
          <w:sz w:val="24"/>
          <w:szCs w:val="24"/>
        </w:rPr>
      </w:pPr>
    </w:p>
    <w:p w14:paraId="11E1C0F4" w14:textId="77777777" w:rsidR="00364682" w:rsidRDefault="003646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trike/>
          <w:sz w:val="24"/>
          <w:szCs w:val="24"/>
        </w:rPr>
      </w:pPr>
    </w:p>
    <w:p w14:paraId="1CB40F48" w14:textId="77777777" w:rsidR="00364682" w:rsidRDefault="008D2DDF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  <w:shd w:val="clear" w:color="auto" w:fill="FFF2CC"/>
        </w:rPr>
      </w:pPr>
      <w:r>
        <w:rPr>
          <w:rFonts w:ascii="Calibri" w:eastAsia="Calibri" w:hAnsi="Calibri" w:cs="Calibri"/>
          <w:b/>
          <w:sz w:val="28"/>
          <w:szCs w:val="28"/>
          <w:highlight w:val="lightGray"/>
        </w:rPr>
        <w:t>[ACTION ITEMS highlighted below]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shd w:val="clear" w:color="auto" w:fill="FFF2CC"/>
        </w:rPr>
        <w:t>[ACTION ITEMS for everyone in yellow]</w:t>
      </w:r>
    </w:p>
    <w:p w14:paraId="42BB114D" w14:textId="77777777" w:rsidR="00364682" w:rsidRDefault="00364682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D939024" w14:textId="77777777" w:rsidR="00364682" w:rsidRDefault="008D2DDF">
      <w:pPr>
        <w:keepNext/>
        <w:keepLines/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Welcome &amp; Icebreaker </w:t>
      </w:r>
      <w:r>
        <w:rPr>
          <w:rFonts w:ascii="Calibri" w:eastAsia="Calibri" w:hAnsi="Calibri" w:cs="Calibri"/>
          <w:sz w:val="24"/>
          <w:szCs w:val="24"/>
        </w:rPr>
        <w:t>(Ericka Brunson-Rochette)</w:t>
      </w:r>
    </w:p>
    <w:p w14:paraId="410D6E66" w14:textId="77777777" w:rsidR="00364682" w:rsidRDefault="008D2DD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Our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C</w:t>
      </w:r>
      <w:hyperlink r:id="rId10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ommunity Agreement</w:t>
        </w:r>
      </w:hyperlink>
      <w:r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during our meetings. </w:t>
      </w:r>
    </w:p>
    <w:p w14:paraId="3B51172C" w14:textId="77777777" w:rsidR="00364682" w:rsidRDefault="00364682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30F2BDD7" w14:textId="77777777" w:rsidR="00364682" w:rsidRDefault="008D2DDF">
      <w:pPr>
        <w:widowControl w:val="0"/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Terminate Contract with Current Lobbyist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(Jeremy Skinner and Kate Laskey)</w:t>
      </w:r>
    </w:p>
    <w:p w14:paraId="6B69A630" w14:textId="77777777" w:rsidR="00364682" w:rsidRDefault="008D2DDF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See copy of unsigned </w:t>
      </w:r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contract</w:t>
        </w:r>
      </w:hyperlink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.</w:t>
      </w:r>
    </w:p>
    <w:p w14:paraId="4F196B69" w14:textId="77777777" w:rsidR="00364682" w:rsidRDefault="008D2DDF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Jeremy and Kate, Legislative Committee co-chairs, proposed OLA terminate the association’s current contract with </w:t>
      </w:r>
      <w:proofErr w:type="spell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Milio</w:t>
      </w:r>
      <w:proofErr w:type="spell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Capital Consulting, and adhere to th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e 60 days notification clause. </w:t>
      </w:r>
    </w:p>
    <w:p w14:paraId="1D3A6B3F" w14:textId="77777777" w:rsidR="00364682" w:rsidRDefault="008D2DDF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A brief discussion was held to answer Executive Board member questions.</w:t>
      </w:r>
    </w:p>
    <w:p w14:paraId="65310A07" w14:textId="77777777" w:rsidR="00364682" w:rsidRDefault="008D2DDF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 motion to terminate was proposed, and seconded. </w:t>
      </w:r>
    </w:p>
    <w:p w14:paraId="255AACF3" w14:textId="77777777" w:rsidR="00364682" w:rsidRDefault="008D2DDF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The motion to terminate passed with 7 votes, and 1 abstention. </w:t>
      </w:r>
    </w:p>
    <w:p w14:paraId="22A9AA2A" w14:textId="77777777" w:rsidR="00364682" w:rsidRDefault="0036468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F1D676" w14:textId="77777777" w:rsidR="00364682" w:rsidRDefault="008D2DD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D9D9D9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Action Item Review/Next Meeting </w:t>
      </w:r>
      <w:r>
        <w:rPr>
          <w:rFonts w:ascii="Calibri" w:eastAsia="Calibri" w:hAnsi="Calibri" w:cs="Calibri"/>
          <w:sz w:val="24"/>
          <w:szCs w:val="24"/>
        </w:rPr>
        <w:t>(Eri</w:t>
      </w:r>
      <w:r>
        <w:rPr>
          <w:rFonts w:ascii="Calibri" w:eastAsia="Calibri" w:hAnsi="Calibri" w:cs="Calibri"/>
          <w:sz w:val="24"/>
          <w:szCs w:val="24"/>
        </w:rPr>
        <w:t>cka/Roxanne)</w:t>
      </w:r>
    </w:p>
    <w:p w14:paraId="15BD5878" w14:textId="77777777" w:rsidR="00364682" w:rsidRDefault="008D2DDF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  <w:r>
        <w:rPr>
          <w:rFonts w:ascii="Calibri" w:eastAsia="Calibri" w:hAnsi="Calibri" w:cs="Calibri"/>
          <w:sz w:val="24"/>
          <w:szCs w:val="24"/>
          <w:shd w:val="clear" w:color="auto" w:fill="FFF2CC"/>
        </w:rPr>
        <w:t>ACTION ITEM: Jeremy and Kate will contact OLA’s current lobbyist to let them know the contract is being terminated.</w:t>
      </w:r>
    </w:p>
    <w:p w14:paraId="1BF7A0C7" w14:textId="77777777" w:rsidR="00364682" w:rsidRDefault="00364682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2CC"/>
        </w:rPr>
      </w:pPr>
    </w:p>
    <w:p w14:paraId="05DFBA14" w14:textId="77777777" w:rsidR="00364682" w:rsidRDefault="008D2DDF">
      <w:pPr>
        <w:widowControl w:val="0"/>
        <w:spacing w:before="260"/>
        <w:rPr>
          <w:rFonts w:ascii="Calibri" w:eastAsia="Calibri" w:hAnsi="Calibri" w:cs="Calibri"/>
          <w:b/>
          <w:sz w:val="24"/>
          <w:szCs w:val="24"/>
        </w:rPr>
      </w:pPr>
      <w:bookmarkStart w:id="0" w:name="_heading=h.bzfmzlufxv39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Adjourned at 8:48 a.m.</w:t>
      </w:r>
    </w:p>
    <w:p w14:paraId="72F24530" w14:textId="77777777" w:rsidR="00364682" w:rsidRDefault="008D2DDF">
      <w:pPr>
        <w:widowControl w:val="0"/>
        <w:spacing w:before="260"/>
        <w:rPr>
          <w:rFonts w:ascii="Calibri" w:eastAsia="Calibri" w:hAnsi="Calibri" w:cs="Calibri"/>
          <w:sz w:val="16"/>
          <w:szCs w:val="16"/>
        </w:rPr>
        <w:sectPr w:rsidR="00364682">
          <w:pgSz w:w="12240" w:h="15840"/>
          <w:pgMar w:top="1080" w:right="1440" w:bottom="1080" w:left="1440" w:header="720" w:footer="720" w:gutter="0"/>
          <w:pgNumType w:start="1"/>
          <w:cols w:space="720"/>
        </w:sectPr>
      </w:pPr>
      <w:bookmarkStart w:id="1" w:name="_heading=h.3rycevr7wg35" w:colFirst="0" w:colLast="0"/>
      <w:bookmarkEnd w:id="1"/>
      <w:r>
        <w:rPr>
          <w:rFonts w:ascii="Calibri" w:eastAsia="Calibri" w:hAnsi="Calibri" w:cs="Calibri"/>
          <w:sz w:val="16"/>
          <w:szCs w:val="16"/>
        </w:rPr>
        <w:t>Appendix. Common OLA Abbreviations.</w:t>
      </w:r>
    </w:p>
    <w:p w14:paraId="53553DEB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bookmarkStart w:id="2" w:name="_heading=h.remu7ridnabx" w:colFirst="0" w:colLast="0"/>
      <w:bookmarkEnd w:id="2"/>
      <w:r>
        <w:rPr>
          <w:rFonts w:ascii="Calibri" w:eastAsia="Calibri" w:hAnsi="Calibri" w:cs="Calibri"/>
          <w:sz w:val="16"/>
          <w:szCs w:val="16"/>
        </w:rPr>
        <w:t>ACRL–Assoc. of College &amp; Research Libraries</w:t>
      </w:r>
    </w:p>
    <w:p w14:paraId="08354767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CSD–Children’s Services Division</w:t>
      </w:r>
    </w:p>
    <w:p w14:paraId="7F00E486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EDIA–Equity, Diversity, Inclusion, and Antiracism Committee</w:t>
      </w:r>
    </w:p>
    <w:p w14:paraId="604BEC07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IFC–Intellectual Freedom Committee</w:t>
      </w:r>
    </w:p>
    <w:p w14:paraId="5BAAB26A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LEG–Legislative Committee (formerly Library Development and Legislation)</w:t>
      </w:r>
    </w:p>
    <w:p w14:paraId="3E8B7F99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LIOLA–Leade</w:t>
      </w:r>
      <w:r>
        <w:rPr>
          <w:rFonts w:ascii="Calibri" w:eastAsia="Calibri" w:hAnsi="Calibri" w:cs="Calibri"/>
          <w:sz w:val="16"/>
          <w:szCs w:val="16"/>
        </w:rPr>
        <w:t>rship Institute of OLA</w:t>
      </w:r>
    </w:p>
    <w:p w14:paraId="08AAEA6D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OASL–Oregon Assoc. of School Libraries</w:t>
      </w:r>
    </w:p>
    <w:p w14:paraId="1FF002E9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OBOB–Oregon Battle of the Books</w:t>
      </w:r>
    </w:p>
    <w:p w14:paraId="55AC57AB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ORCA–Oregon Reader’s Choice Award</w:t>
      </w:r>
    </w:p>
    <w:p w14:paraId="4FAC2FB5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OYAN–Oregon Young Adult Network</w:t>
      </w:r>
    </w:p>
    <w:p w14:paraId="1BAF24DF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PLD–Public Library Division</w:t>
      </w:r>
    </w:p>
    <w:p w14:paraId="29264AFE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REFORMA–REFORMA Oregon </w:t>
      </w:r>
    </w:p>
    <w:p w14:paraId="3D17ACCB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bookmarkStart w:id="3" w:name="_heading=h.n0yl7jvt6hda" w:colFirst="0" w:colLast="0"/>
      <w:bookmarkEnd w:id="3"/>
      <w:r>
        <w:rPr>
          <w:rFonts w:ascii="Calibri" w:eastAsia="Calibri" w:hAnsi="Calibri" w:cs="Calibri"/>
          <w:sz w:val="16"/>
          <w:szCs w:val="16"/>
        </w:rPr>
        <w:t>SLO–State Library of Oregon</w:t>
      </w:r>
    </w:p>
    <w:p w14:paraId="504CBC44" w14:textId="77777777" w:rsidR="00364682" w:rsidRDefault="008D2DDF">
      <w:pPr>
        <w:widowControl w:val="0"/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SSD–Support Staf</w:t>
      </w:r>
      <w:r>
        <w:rPr>
          <w:rFonts w:ascii="Calibri" w:eastAsia="Calibri" w:hAnsi="Calibri" w:cs="Calibri"/>
          <w:sz w:val="16"/>
          <w:szCs w:val="16"/>
        </w:rPr>
        <w:t>f Division</w:t>
      </w:r>
    </w:p>
    <w:p w14:paraId="2ADF5259" w14:textId="77777777" w:rsidR="00364682" w:rsidRDefault="00364682">
      <w:pPr>
        <w:widowControl w:val="0"/>
        <w:rPr>
          <w:rFonts w:ascii="Calibri" w:eastAsia="Calibri" w:hAnsi="Calibri" w:cs="Calibri"/>
          <w:sz w:val="16"/>
          <w:szCs w:val="16"/>
        </w:rPr>
      </w:pPr>
    </w:p>
    <w:sectPr w:rsidR="00364682">
      <w:type w:val="continuous"/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083"/>
    <w:multiLevelType w:val="multilevel"/>
    <w:tmpl w:val="31BE9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6A413F"/>
    <w:multiLevelType w:val="multilevel"/>
    <w:tmpl w:val="9DEE4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5A271C"/>
    <w:multiLevelType w:val="multilevel"/>
    <w:tmpl w:val="17DCD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D66E33"/>
    <w:multiLevelType w:val="multilevel"/>
    <w:tmpl w:val="CCDC9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82"/>
    <w:rsid w:val="00364682"/>
    <w:rsid w:val="008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0632C"/>
  <w15:docId w15:val="{D7B37970-B2F3-E845-9581-B676C04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hyperlink" Target="https://docs.google.com/document/d/12Ifjdq4wlIrdctnwuFtXmKrObwAa4X2D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mQ77seEU4rKpvZfm8JxgNNodcTI2QGc7zL6w6GreTA8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248971840?pwd=YKn0bF9YmBs2iy3ykKlkJ27rJ1H6v0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KsPL41atCdCJpKQ4Mu5GVyhAQ==">CgMxLjAyDmguYnpmbXpsdWZ4djM5Mg5oLjNyeWNldnI3d2czNTIOaC5yZW11N3JpZG5hYngyDmgubjB5bDdqdnQ2aGRhOAByITFuNGxVMVZDaHBBZ3RNS3h5SHFOaFlJSFktYVVYMGNyWQ==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2024-06-21T14:33:00Z</dcterms:created>
  <dcterms:modified xsi:type="dcterms:W3CDTF">2024-06-21T14:33:00Z</dcterms:modified>
</cp:coreProperties>
</file>