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1D2E5" w14:textId="4A54AE57" w:rsidR="00CB7D5E" w:rsidRPr="00FC69A1" w:rsidRDefault="00CB7D5E" w:rsidP="00CB7D5E">
      <w:pPr>
        <w:rPr>
          <w:b/>
          <w:sz w:val="22"/>
          <w:szCs w:val="22"/>
          <w:u w:val="single"/>
        </w:rPr>
      </w:pPr>
      <w:r w:rsidRPr="00FC69A1">
        <w:rPr>
          <w:b/>
          <w:sz w:val="22"/>
          <w:szCs w:val="22"/>
          <w:u w:val="single"/>
        </w:rPr>
        <w:t>State of Public Library Management in Oregon – 2010</w:t>
      </w:r>
    </w:p>
    <w:p w14:paraId="42147598" w14:textId="10ACA8AF" w:rsidR="00CB7D5E" w:rsidRPr="00FC69A1" w:rsidRDefault="00CB7D5E" w:rsidP="00CB7D5E">
      <w:pPr>
        <w:rPr>
          <w:sz w:val="22"/>
          <w:szCs w:val="22"/>
        </w:rPr>
      </w:pPr>
      <w:r w:rsidRPr="00FC69A1">
        <w:rPr>
          <w:sz w:val="22"/>
          <w:szCs w:val="22"/>
        </w:rPr>
        <w:t>September 2010</w:t>
      </w:r>
    </w:p>
    <w:p w14:paraId="25F0149C" w14:textId="77777777" w:rsidR="00CB7D5E" w:rsidRPr="00FC69A1" w:rsidRDefault="00CB7D5E" w:rsidP="00CB7D5E">
      <w:pPr>
        <w:rPr>
          <w:sz w:val="22"/>
          <w:szCs w:val="22"/>
        </w:rPr>
      </w:pPr>
      <w:r w:rsidRPr="00FC69A1">
        <w:rPr>
          <w:sz w:val="22"/>
          <w:szCs w:val="22"/>
        </w:rPr>
        <w:t>OLA Legislative Committee</w:t>
      </w:r>
    </w:p>
    <w:p w14:paraId="39B7BC22" w14:textId="77777777" w:rsidR="00A03605" w:rsidRPr="00FC69A1" w:rsidRDefault="00A03605" w:rsidP="00A03605">
      <w:pPr>
        <w:rPr>
          <w:sz w:val="22"/>
          <w:szCs w:val="22"/>
        </w:rPr>
      </w:pPr>
    </w:p>
    <w:p w14:paraId="41813A1E" w14:textId="77777777" w:rsidR="00CB7D5E" w:rsidRPr="00FC69A1" w:rsidRDefault="00CB7D5E" w:rsidP="00CB7D5E">
      <w:pPr>
        <w:rPr>
          <w:b/>
          <w:sz w:val="22"/>
          <w:szCs w:val="22"/>
          <w:u w:val="single"/>
        </w:rPr>
      </w:pPr>
      <w:r w:rsidRPr="00FC69A1">
        <w:rPr>
          <w:b/>
          <w:sz w:val="22"/>
          <w:szCs w:val="22"/>
          <w:u w:val="single"/>
        </w:rPr>
        <w:t>Public Sector Management</w:t>
      </w:r>
    </w:p>
    <w:p w14:paraId="159F693E" w14:textId="7AFDB9FC" w:rsidR="00CB7D5E" w:rsidRPr="00FC69A1" w:rsidRDefault="00CB7D5E" w:rsidP="00CB7D5E">
      <w:pPr>
        <w:rPr>
          <w:sz w:val="22"/>
          <w:szCs w:val="22"/>
        </w:rPr>
      </w:pPr>
      <w:r w:rsidRPr="00FC69A1">
        <w:rPr>
          <w:sz w:val="22"/>
          <w:szCs w:val="22"/>
        </w:rPr>
        <w:t xml:space="preserve"> Oregon has 133 public library entities as listed in the Oregon State Library database in 2010.</w:t>
      </w:r>
      <w:r w:rsidRPr="00FC69A1">
        <w:rPr>
          <w:rStyle w:val="FootnoteReference"/>
          <w:sz w:val="22"/>
          <w:szCs w:val="22"/>
        </w:rPr>
        <w:footnoteReference w:id="1"/>
      </w:r>
      <w:r w:rsidRPr="00FC69A1">
        <w:rPr>
          <w:sz w:val="22"/>
          <w:szCs w:val="22"/>
        </w:rPr>
        <w:t xml:space="preserve">  Branch libraries bring the total number of library facilities in the state to 215.  Of the 133 library entities, 19 are independent municipal corporations (e.g. districts) while the others are part of city or county government. The Hood River Library System closed on July 1, 2010 after a failed election</w:t>
      </w:r>
      <w:r w:rsidR="00FC69A1" w:rsidRPr="00FC69A1">
        <w:rPr>
          <w:sz w:val="22"/>
          <w:szCs w:val="22"/>
        </w:rPr>
        <w:t xml:space="preserve"> to form a </w:t>
      </w:r>
      <w:proofErr w:type="gramStart"/>
      <w:r w:rsidR="00FC69A1" w:rsidRPr="00FC69A1">
        <w:rPr>
          <w:sz w:val="22"/>
          <w:szCs w:val="22"/>
        </w:rPr>
        <w:t>library taxing</w:t>
      </w:r>
      <w:proofErr w:type="gramEnd"/>
      <w:r w:rsidR="00FC69A1" w:rsidRPr="00FC69A1">
        <w:rPr>
          <w:sz w:val="22"/>
          <w:szCs w:val="22"/>
        </w:rPr>
        <w:t xml:space="preserve"> district</w:t>
      </w:r>
      <w:r w:rsidRPr="00FC69A1">
        <w:rPr>
          <w:sz w:val="22"/>
          <w:szCs w:val="22"/>
        </w:rPr>
        <w:t xml:space="preserve">.  In November 2010, a revised special district </w:t>
      </w:r>
      <w:r w:rsidR="00FC69A1" w:rsidRPr="00FC69A1">
        <w:rPr>
          <w:sz w:val="22"/>
          <w:szCs w:val="22"/>
        </w:rPr>
        <w:t xml:space="preserve">proposal </w:t>
      </w:r>
      <w:r w:rsidRPr="00FC69A1">
        <w:rPr>
          <w:sz w:val="22"/>
          <w:szCs w:val="22"/>
        </w:rPr>
        <w:t>won approval by the voters.  The libraries in Hood River</w:t>
      </w:r>
      <w:r w:rsidR="00FC69A1" w:rsidRPr="00FC69A1">
        <w:rPr>
          <w:sz w:val="22"/>
          <w:szCs w:val="22"/>
        </w:rPr>
        <w:t xml:space="preserve">, </w:t>
      </w:r>
      <w:proofErr w:type="spellStart"/>
      <w:r w:rsidR="00FC69A1" w:rsidRPr="00FC69A1">
        <w:rPr>
          <w:sz w:val="22"/>
          <w:szCs w:val="22"/>
        </w:rPr>
        <w:t>Parkdale</w:t>
      </w:r>
      <w:proofErr w:type="spellEnd"/>
      <w:r w:rsidRPr="00FC69A1">
        <w:rPr>
          <w:sz w:val="22"/>
          <w:szCs w:val="22"/>
        </w:rPr>
        <w:t xml:space="preserve"> and Cascades Locks remained shuttered through the end of 2010. </w:t>
      </w:r>
    </w:p>
    <w:p w14:paraId="1F9528EC" w14:textId="77777777" w:rsidR="00CB7D5E" w:rsidRPr="00FC69A1" w:rsidRDefault="00CB7D5E" w:rsidP="00CB7D5E">
      <w:pPr>
        <w:rPr>
          <w:sz w:val="22"/>
          <w:szCs w:val="22"/>
        </w:rPr>
      </w:pPr>
    </w:p>
    <w:p w14:paraId="54FBAA9E" w14:textId="77777777" w:rsidR="00CB7D5E" w:rsidRPr="00FC69A1" w:rsidRDefault="00CB7D5E" w:rsidP="00CB7D5E">
      <w:pPr>
        <w:rPr>
          <w:b/>
          <w:sz w:val="22"/>
          <w:szCs w:val="22"/>
          <w:u w:val="single"/>
        </w:rPr>
      </w:pPr>
      <w:r w:rsidRPr="00FC69A1">
        <w:rPr>
          <w:b/>
          <w:sz w:val="22"/>
          <w:szCs w:val="22"/>
          <w:u w:val="single"/>
        </w:rPr>
        <w:t>Nongovernmental Management</w:t>
      </w:r>
    </w:p>
    <w:p w14:paraId="55CD57D9" w14:textId="0C85F831" w:rsidR="00CB7D5E" w:rsidRPr="00FC69A1" w:rsidRDefault="00CB7D5E" w:rsidP="00CB7D5E">
      <w:pPr>
        <w:rPr>
          <w:sz w:val="22"/>
          <w:szCs w:val="22"/>
        </w:rPr>
      </w:pPr>
      <w:r w:rsidRPr="00FC69A1">
        <w:rPr>
          <w:sz w:val="22"/>
          <w:szCs w:val="22"/>
        </w:rPr>
        <w:t xml:space="preserve">In 2007, libraries in Josephine County were closed. Community members formed the Josephine Community Libraries, Inc., a nongovernmental nonprofit organization dedicated to reopening and operating the libraries in Josephine County.  Josephine Community Libraries, Inc. is operating under a </w:t>
      </w:r>
      <w:proofErr w:type="gramStart"/>
      <w:r w:rsidRPr="00FC69A1">
        <w:rPr>
          <w:sz w:val="22"/>
          <w:szCs w:val="22"/>
        </w:rPr>
        <w:t>three year</w:t>
      </w:r>
      <w:proofErr w:type="gramEnd"/>
      <w:r w:rsidRPr="00FC69A1">
        <w:rPr>
          <w:sz w:val="22"/>
          <w:szCs w:val="22"/>
        </w:rPr>
        <w:t xml:space="preserve"> agreement with the County who contributed $300,000 to the effort. On December 20, 2008, the Grants Pass library opened again. In 2009, three of the branches reopened - Illinois Valley, Williams and Wolf Creek. This system is funded through memberships, grants and donations and managed by a volunteer board of directors. The reality is that it is extremely difficulty to have public libraries without dedicated, stable public funding. </w:t>
      </w:r>
      <w:r w:rsidR="00FA530C" w:rsidRPr="00FC69A1">
        <w:rPr>
          <w:sz w:val="22"/>
          <w:szCs w:val="22"/>
        </w:rPr>
        <w:t xml:space="preserve"> Even so, the people in Josephine County are making progress.  </w:t>
      </w:r>
      <w:r w:rsidRPr="00FC69A1">
        <w:rPr>
          <w:sz w:val="22"/>
          <w:szCs w:val="22"/>
        </w:rPr>
        <w:t xml:space="preserve">Table 1 provides an overview of funding of library services over the past five years and is an updated version of the table in last year’s report, </w:t>
      </w:r>
      <w:r w:rsidRPr="00FC69A1">
        <w:rPr>
          <w:i/>
          <w:sz w:val="22"/>
          <w:szCs w:val="22"/>
        </w:rPr>
        <w:t>State of Public Library Management in Oregon – 2009</w:t>
      </w:r>
      <w:r w:rsidRPr="00FC69A1">
        <w:rPr>
          <w:sz w:val="22"/>
          <w:szCs w:val="22"/>
        </w:rPr>
        <w:t>.</w:t>
      </w:r>
    </w:p>
    <w:p w14:paraId="41B0019D" w14:textId="77777777" w:rsidR="00CB7D5E" w:rsidRPr="00FC69A1" w:rsidRDefault="00CB7D5E" w:rsidP="00CB7D5E">
      <w:pPr>
        <w:rPr>
          <w:sz w:val="22"/>
          <w:szCs w:val="22"/>
        </w:rPr>
      </w:pPr>
    </w:p>
    <w:p w14:paraId="183ABF73" w14:textId="77777777" w:rsidR="00CB7D5E" w:rsidRPr="00FC69A1" w:rsidRDefault="00CB7D5E" w:rsidP="00CB7D5E">
      <w:pPr>
        <w:rPr>
          <w:b/>
          <w:sz w:val="22"/>
          <w:szCs w:val="22"/>
          <w:u w:val="single"/>
        </w:rPr>
      </w:pPr>
      <w:r w:rsidRPr="00FC69A1">
        <w:rPr>
          <w:b/>
          <w:sz w:val="22"/>
          <w:szCs w:val="22"/>
          <w:u w:val="single"/>
        </w:rPr>
        <w:t>Private Sector Management</w:t>
      </w:r>
    </w:p>
    <w:p w14:paraId="6607914B" w14:textId="7B39883B" w:rsidR="00455BAC" w:rsidRPr="00FC69A1" w:rsidRDefault="00CB7D5E" w:rsidP="00455BAC">
      <w:pPr>
        <w:rPr>
          <w:color w:val="330000"/>
          <w:sz w:val="22"/>
          <w:szCs w:val="22"/>
        </w:rPr>
      </w:pPr>
      <w:r w:rsidRPr="00FC69A1">
        <w:rPr>
          <w:sz w:val="22"/>
          <w:szCs w:val="22"/>
        </w:rPr>
        <w:t xml:space="preserve">In Oregon, the only library currently operated under private sector management is the Jackson County Library System. The County Commissioners closed the library in April 2007 due to the loss of federal timber payments.  In September 2007, the Commissioners contracted their management responsibilities for the 15-library system </w:t>
      </w:r>
      <w:r w:rsidR="00FC69A1" w:rsidRPr="00FC69A1">
        <w:rPr>
          <w:sz w:val="22"/>
          <w:szCs w:val="22"/>
        </w:rPr>
        <w:t xml:space="preserve">to </w:t>
      </w:r>
      <w:r w:rsidRPr="00FC69A1">
        <w:rPr>
          <w:sz w:val="22"/>
          <w:szCs w:val="22"/>
        </w:rPr>
        <w:t>LSSI for five years.  The Commission retains its governance role, which includes funding the contract from County general fund revenues and setting policy.</w:t>
      </w:r>
      <w:r w:rsidRPr="00FC69A1">
        <w:rPr>
          <w:color w:val="330000"/>
          <w:sz w:val="22"/>
          <w:szCs w:val="22"/>
        </w:rPr>
        <w:t xml:space="preserve"> </w:t>
      </w:r>
      <w:r w:rsidR="00455BAC" w:rsidRPr="00FC69A1">
        <w:rPr>
          <w:color w:val="330000"/>
          <w:sz w:val="22"/>
          <w:szCs w:val="22"/>
        </w:rPr>
        <w:t xml:space="preserve">The Oregon Library Association monitors developments in Jackson </w:t>
      </w:r>
      <w:r w:rsidR="00FA530C" w:rsidRPr="00FC69A1">
        <w:rPr>
          <w:color w:val="330000"/>
          <w:sz w:val="22"/>
          <w:szCs w:val="22"/>
        </w:rPr>
        <w:t>County,</w:t>
      </w:r>
      <w:r w:rsidR="00455BAC" w:rsidRPr="00FC69A1">
        <w:rPr>
          <w:color w:val="330000"/>
          <w:sz w:val="22"/>
          <w:szCs w:val="22"/>
        </w:rPr>
        <w:t xml:space="preserve"> as we believe all Oregonians should have access to quality</w:t>
      </w:r>
      <w:r w:rsidR="00FC69A1" w:rsidRPr="00FC69A1">
        <w:rPr>
          <w:color w:val="330000"/>
          <w:sz w:val="22"/>
          <w:szCs w:val="22"/>
        </w:rPr>
        <w:t xml:space="preserve"> library services and resources.</w:t>
      </w:r>
    </w:p>
    <w:p w14:paraId="694EF99B" w14:textId="77777777" w:rsidR="00455BAC" w:rsidRPr="00FC69A1" w:rsidRDefault="00455BAC" w:rsidP="00455BAC">
      <w:pPr>
        <w:rPr>
          <w:color w:val="330000"/>
          <w:sz w:val="22"/>
          <w:szCs w:val="22"/>
        </w:rPr>
      </w:pPr>
    </w:p>
    <w:p w14:paraId="3DABF942" w14:textId="2937AB88" w:rsidR="00455BAC" w:rsidRPr="00FC69A1" w:rsidRDefault="00455BAC" w:rsidP="00455BAC">
      <w:pPr>
        <w:rPr>
          <w:sz w:val="22"/>
          <w:szCs w:val="22"/>
        </w:rPr>
      </w:pPr>
      <w:r w:rsidRPr="00FC69A1">
        <w:rPr>
          <w:color w:val="330000"/>
          <w:sz w:val="22"/>
          <w:szCs w:val="22"/>
        </w:rPr>
        <w:t>Table 2 compares the Jackson County Library System with other public libraries in the state</w:t>
      </w:r>
      <w:r w:rsidR="00C159E8" w:rsidRPr="00FC69A1">
        <w:rPr>
          <w:color w:val="330000"/>
          <w:sz w:val="22"/>
          <w:szCs w:val="22"/>
        </w:rPr>
        <w:t xml:space="preserve"> serving popul</w:t>
      </w:r>
      <w:r w:rsidR="00FC69A1" w:rsidRPr="00FC69A1">
        <w:rPr>
          <w:color w:val="330000"/>
          <w:sz w:val="22"/>
          <w:szCs w:val="22"/>
        </w:rPr>
        <w:t>ations over 85</w:t>
      </w:r>
      <w:r w:rsidR="00C159E8" w:rsidRPr="00FC69A1">
        <w:rPr>
          <w:color w:val="330000"/>
          <w:sz w:val="22"/>
          <w:szCs w:val="22"/>
        </w:rPr>
        <w:t>,000</w:t>
      </w:r>
      <w:r w:rsidRPr="00FC69A1">
        <w:rPr>
          <w:color w:val="330000"/>
          <w:sz w:val="22"/>
          <w:szCs w:val="22"/>
        </w:rPr>
        <w:t xml:space="preserve">. </w:t>
      </w:r>
      <w:r w:rsidRPr="00FC69A1">
        <w:rPr>
          <w:sz w:val="22"/>
          <w:szCs w:val="22"/>
        </w:rPr>
        <w:t xml:space="preserve">Using the Cost Per Service </w:t>
      </w:r>
      <w:proofErr w:type="gramStart"/>
      <w:r w:rsidRPr="00FC69A1">
        <w:rPr>
          <w:sz w:val="22"/>
          <w:szCs w:val="22"/>
        </w:rPr>
        <w:t>Unit</w:t>
      </w:r>
      <w:r w:rsidR="00FC69A1" w:rsidRPr="00FC69A1">
        <w:rPr>
          <w:sz w:val="22"/>
          <w:szCs w:val="22"/>
        </w:rPr>
        <w:t xml:space="preserve">  metric</w:t>
      </w:r>
      <w:proofErr w:type="gramEnd"/>
      <w:r w:rsidRPr="00FC69A1">
        <w:rPr>
          <w:sz w:val="22"/>
          <w:szCs w:val="22"/>
        </w:rPr>
        <w:t xml:space="preserve">, it appears that public sector management outperformed privatized management. </w:t>
      </w:r>
      <w:r w:rsidR="00C159E8" w:rsidRPr="00FC69A1">
        <w:rPr>
          <w:sz w:val="22"/>
          <w:szCs w:val="22"/>
        </w:rPr>
        <w:t>The Jackson County L</w:t>
      </w:r>
      <w:r w:rsidRPr="00FC69A1">
        <w:rPr>
          <w:sz w:val="22"/>
          <w:szCs w:val="22"/>
        </w:rPr>
        <w:t xml:space="preserve">ibrary </w:t>
      </w:r>
      <w:r w:rsidR="00C159E8" w:rsidRPr="00FC69A1">
        <w:rPr>
          <w:sz w:val="22"/>
          <w:szCs w:val="22"/>
        </w:rPr>
        <w:t xml:space="preserve">Services </w:t>
      </w:r>
      <w:r w:rsidRPr="00FC69A1">
        <w:rPr>
          <w:sz w:val="22"/>
          <w:szCs w:val="22"/>
        </w:rPr>
        <w:t xml:space="preserve">costs per service unit were similar to other Oregon libraries, but </w:t>
      </w:r>
      <w:r w:rsidR="00C159E8" w:rsidRPr="00FC69A1">
        <w:rPr>
          <w:sz w:val="22"/>
          <w:szCs w:val="22"/>
        </w:rPr>
        <w:t xml:space="preserve">the system’s libraries </w:t>
      </w:r>
      <w:r w:rsidRPr="00FC69A1">
        <w:rPr>
          <w:sz w:val="22"/>
          <w:szCs w:val="22"/>
        </w:rPr>
        <w:t xml:space="preserve">were opened up to 65% less. The LSSI </w:t>
      </w:r>
      <w:r w:rsidR="00C159E8" w:rsidRPr="00FC69A1">
        <w:rPr>
          <w:sz w:val="22"/>
          <w:szCs w:val="22"/>
        </w:rPr>
        <w:t>model in Jackson County appears to rely on r</w:t>
      </w:r>
      <w:r w:rsidRPr="00FC69A1">
        <w:rPr>
          <w:sz w:val="22"/>
          <w:szCs w:val="22"/>
        </w:rPr>
        <w:t xml:space="preserve">educed access to services and materials </w:t>
      </w:r>
      <w:r w:rsidR="00FC69A1" w:rsidRPr="00FC69A1">
        <w:rPr>
          <w:sz w:val="22"/>
          <w:szCs w:val="22"/>
        </w:rPr>
        <w:t xml:space="preserve">to achieve </w:t>
      </w:r>
      <w:r w:rsidRPr="00FC69A1">
        <w:rPr>
          <w:sz w:val="22"/>
          <w:szCs w:val="22"/>
        </w:rPr>
        <w:t>at a similar cost to those with additional hours of operation</w:t>
      </w:r>
      <w:r w:rsidR="00C159E8" w:rsidRPr="00FC69A1">
        <w:rPr>
          <w:sz w:val="22"/>
          <w:szCs w:val="22"/>
        </w:rPr>
        <w:t xml:space="preserve">.  </w:t>
      </w:r>
      <w:r w:rsidR="00FC69A1" w:rsidRPr="00FC69A1">
        <w:rPr>
          <w:sz w:val="22"/>
          <w:szCs w:val="22"/>
        </w:rPr>
        <w:t xml:space="preserve">For example, the Medford Public Library, Jackson County’s main branch, is open 24 hours a week which is very low for a library that was conceived as an anchor for a revitalized downtown and serves as a central hub. </w:t>
      </w:r>
    </w:p>
    <w:p w14:paraId="44F7B213" w14:textId="1D0EEEC4" w:rsidR="005A325B" w:rsidRPr="00FC69A1" w:rsidRDefault="005A325B" w:rsidP="00CB7D5E">
      <w:pPr>
        <w:rPr>
          <w:color w:val="330000"/>
          <w:sz w:val="22"/>
          <w:szCs w:val="22"/>
        </w:rPr>
      </w:pPr>
    </w:p>
    <w:p w14:paraId="20CF6955" w14:textId="2417CBC6" w:rsidR="00CB7D5E" w:rsidRPr="00FC69A1" w:rsidRDefault="00C70CFE" w:rsidP="00CB7D5E">
      <w:pPr>
        <w:rPr>
          <w:sz w:val="22"/>
          <w:szCs w:val="22"/>
        </w:rPr>
      </w:pPr>
      <w:r w:rsidRPr="00FC69A1">
        <w:rPr>
          <w:color w:val="330000"/>
          <w:sz w:val="22"/>
          <w:szCs w:val="22"/>
        </w:rPr>
        <w:t xml:space="preserve">The question for county and city administrators considering private sector management is what constitutes quality. </w:t>
      </w:r>
      <w:r w:rsidR="005A325B" w:rsidRPr="00FC69A1">
        <w:rPr>
          <w:color w:val="330000"/>
          <w:sz w:val="22"/>
          <w:szCs w:val="22"/>
        </w:rPr>
        <w:t>The broader questions concern transparency – how are public funds being expended and is quality being sacrificed for private profit.  This is an ongoing</w:t>
      </w:r>
      <w:bookmarkStart w:id="0" w:name="_GoBack"/>
      <w:bookmarkEnd w:id="0"/>
      <w:r w:rsidR="005A325B" w:rsidRPr="00FC69A1">
        <w:rPr>
          <w:color w:val="330000"/>
          <w:sz w:val="22"/>
          <w:szCs w:val="22"/>
        </w:rPr>
        <w:t xml:space="preserve"> debate in the library community and </w:t>
      </w:r>
      <w:r w:rsidR="00455BAC" w:rsidRPr="00FC69A1">
        <w:rPr>
          <w:color w:val="330000"/>
          <w:sz w:val="22"/>
          <w:szCs w:val="22"/>
        </w:rPr>
        <w:t>is escalating</w:t>
      </w:r>
      <w:r w:rsidR="00C159E8" w:rsidRPr="00FC69A1">
        <w:rPr>
          <w:color w:val="330000"/>
          <w:sz w:val="22"/>
          <w:szCs w:val="22"/>
        </w:rPr>
        <w:t xml:space="preserve">.  The Oregon Library Association remains one of the few library organizations with an adopted policy concerning public management of public libraries. </w:t>
      </w:r>
    </w:p>
    <w:p w14:paraId="22E8A128" w14:textId="77777777" w:rsidR="00A03605" w:rsidRPr="00F22C71" w:rsidRDefault="00A03605" w:rsidP="00A03605"/>
    <w:p w14:paraId="115D1356" w14:textId="77777777" w:rsidR="00FC69A1" w:rsidRDefault="00FC69A1" w:rsidP="00A03605"/>
    <w:p w14:paraId="4B91B738" w14:textId="77777777" w:rsidR="00FC69A1" w:rsidRDefault="00FC69A1" w:rsidP="00A03605"/>
    <w:p w14:paraId="302EC120" w14:textId="77777777" w:rsidR="00FC69A1" w:rsidRDefault="00FC69A1" w:rsidP="00A03605"/>
    <w:p w14:paraId="0CB3C40A" w14:textId="77777777" w:rsidR="00FC69A1" w:rsidRDefault="00FC69A1" w:rsidP="00A03605"/>
    <w:p w14:paraId="67747E2F" w14:textId="77777777" w:rsidR="00FC69A1" w:rsidRDefault="00FC69A1" w:rsidP="00A03605"/>
    <w:p w14:paraId="7B19C702" w14:textId="77777777" w:rsidR="00FC69A1" w:rsidRDefault="00FC69A1" w:rsidP="00A03605"/>
    <w:p w14:paraId="26F4942F" w14:textId="77777777" w:rsidR="00FC69A1" w:rsidRDefault="00FC69A1" w:rsidP="00A03605"/>
    <w:p w14:paraId="0FE59DAD" w14:textId="77777777" w:rsidR="00FC69A1" w:rsidRDefault="00FC69A1" w:rsidP="00A03605"/>
    <w:p w14:paraId="76DEBE13" w14:textId="77777777" w:rsidR="00FC69A1" w:rsidRDefault="00FC69A1" w:rsidP="00A03605"/>
    <w:p w14:paraId="5A2EE300" w14:textId="77777777" w:rsidR="00FC69A1" w:rsidRDefault="00FC69A1" w:rsidP="00A03605"/>
    <w:p w14:paraId="53C759D4" w14:textId="77777777" w:rsidR="00FC69A1" w:rsidRDefault="00FC69A1" w:rsidP="00A03605"/>
    <w:p w14:paraId="786C638F" w14:textId="335BAC2C" w:rsidR="00FC69A1" w:rsidRDefault="00FC69A1" w:rsidP="00A03605">
      <w:r>
        <w:rPr>
          <w:b/>
        </w:rPr>
        <w:t>Table 1: Josephine County Library Services</w:t>
      </w:r>
    </w:p>
    <w:p w14:paraId="71346021" w14:textId="77777777" w:rsidR="00FC69A1" w:rsidRDefault="00FC69A1" w:rsidP="00A03605"/>
    <w:tbl>
      <w:tblPr>
        <w:tblpPr w:leftFromText="180" w:rightFromText="180" w:vertAnchor="text" w:horzAnchor="page" w:tblpX="541" w:tblpY="62"/>
        <w:tblOverlap w:val="never"/>
        <w:tblW w:w="11188" w:type="dxa"/>
        <w:tblLayout w:type="fixed"/>
        <w:tblLook w:val="0000" w:firstRow="0" w:lastRow="0" w:firstColumn="0" w:lastColumn="0" w:noHBand="0" w:noVBand="0"/>
      </w:tblPr>
      <w:tblGrid>
        <w:gridCol w:w="1018"/>
        <w:gridCol w:w="1260"/>
        <w:gridCol w:w="1350"/>
        <w:gridCol w:w="1260"/>
        <w:gridCol w:w="1440"/>
        <w:gridCol w:w="1170"/>
        <w:gridCol w:w="1350"/>
        <w:gridCol w:w="990"/>
        <w:gridCol w:w="1350"/>
      </w:tblGrid>
      <w:tr w:rsidR="00FC69A1" w:rsidRPr="00660A53" w14:paraId="4A661CF4" w14:textId="77777777" w:rsidTr="00FC69A1">
        <w:trPr>
          <w:cantSplit/>
          <w:trHeight w:val="1242"/>
        </w:trPr>
        <w:tc>
          <w:tcPr>
            <w:tcW w:w="1018" w:type="dxa"/>
            <w:tcBorders>
              <w:top w:val="single" w:sz="4" w:space="0" w:color="000000"/>
              <w:left w:val="single" w:sz="4" w:space="0" w:color="000000"/>
              <w:bottom w:val="single" w:sz="6" w:space="0" w:color="000000"/>
              <w:right w:val="single" w:sz="6" w:space="0" w:color="000000"/>
            </w:tcBorders>
            <w:shd w:val="clear" w:color="auto" w:fill="auto"/>
            <w:vAlign w:val="bottom"/>
          </w:tcPr>
          <w:p w14:paraId="604DD452" w14:textId="77777777" w:rsidR="00FC69A1" w:rsidRPr="007C5A97" w:rsidRDefault="00FC69A1" w:rsidP="00FC69A1">
            <w:pPr>
              <w:rPr>
                <w:b/>
                <w:sz w:val="22"/>
              </w:rPr>
            </w:pPr>
            <w:r w:rsidRPr="007C5A97">
              <w:rPr>
                <w:b/>
                <w:sz w:val="22"/>
              </w:rPr>
              <w:t>Fiscal Year</w:t>
            </w:r>
          </w:p>
        </w:tc>
        <w:tc>
          <w:tcPr>
            <w:tcW w:w="1260" w:type="dxa"/>
            <w:tcBorders>
              <w:top w:val="single" w:sz="4" w:space="0" w:color="000000"/>
              <w:left w:val="single" w:sz="6" w:space="0" w:color="000000"/>
              <w:bottom w:val="single" w:sz="6" w:space="0" w:color="000000"/>
              <w:right w:val="single" w:sz="6" w:space="0" w:color="000000"/>
            </w:tcBorders>
            <w:shd w:val="clear" w:color="auto" w:fill="auto"/>
            <w:vAlign w:val="bottom"/>
          </w:tcPr>
          <w:p w14:paraId="24D73D5C" w14:textId="77777777" w:rsidR="00FC69A1" w:rsidRPr="007C5A97" w:rsidRDefault="00FC69A1" w:rsidP="00FC69A1">
            <w:pPr>
              <w:jc w:val="center"/>
              <w:rPr>
                <w:b/>
                <w:sz w:val="22"/>
              </w:rPr>
            </w:pPr>
            <w:r w:rsidRPr="007C5A97">
              <w:rPr>
                <w:b/>
                <w:sz w:val="22"/>
              </w:rPr>
              <w:t>Population of Service Area</w:t>
            </w:r>
          </w:p>
        </w:tc>
        <w:tc>
          <w:tcPr>
            <w:tcW w:w="1350" w:type="dxa"/>
            <w:tcBorders>
              <w:top w:val="single" w:sz="4" w:space="0" w:color="000000"/>
              <w:left w:val="single" w:sz="6" w:space="0" w:color="000000"/>
              <w:bottom w:val="single" w:sz="6" w:space="0" w:color="000000"/>
              <w:right w:val="single" w:sz="6" w:space="0" w:color="000000"/>
            </w:tcBorders>
            <w:shd w:val="clear" w:color="auto" w:fill="auto"/>
            <w:vAlign w:val="bottom"/>
          </w:tcPr>
          <w:p w14:paraId="7059B7A7" w14:textId="77777777" w:rsidR="00FC69A1" w:rsidRPr="007C5A97" w:rsidRDefault="00FC69A1" w:rsidP="00FC69A1">
            <w:pPr>
              <w:jc w:val="center"/>
              <w:rPr>
                <w:b/>
                <w:sz w:val="22"/>
              </w:rPr>
            </w:pPr>
            <w:r w:rsidRPr="007C5A97">
              <w:rPr>
                <w:b/>
                <w:sz w:val="22"/>
              </w:rPr>
              <w:t>Circulation</w:t>
            </w:r>
          </w:p>
        </w:tc>
        <w:tc>
          <w:tcPr>
            <w:tcW w:w="1260" w:type="dxa"/>
            <w:tcBorders>
              <w:top w:val="single" w:sz="4" w:space="0" w:color="000000"/>
              <w:left w:val="single" w:sz="6" w:space="0" w:color="000000"/>
              <w:bottom w:val="single" w:sz="6" w:space="0" w:color="000000"/>
              <w:right w:val="single" w:sz="6" w:space="0" w:color="000000"/>
            </w:tcBorders>
            <w:vAlign w:val="bottom"/>
          </w:tcPr>
          <w:p w14:paraId="3CE77B94" w14:textId="77777777" w:rsidR="00FC69A1" w:rsidRPr="007C5A97" w:rsidRDefault="00FC69A1" w:rsidP="00FC69A1">
            <w:pPr>
              <w:jc w:val="center"/>
              <w:rPr>
                <w:b/>
                <w:sz w:val="22"/>
              </w:rPr>
            </w:pPr>
            <w:r w:rsidRPr="007C5A97">
              <w:rPr>
                <w:b/>
                <w:sz w:val="22"/>
              </w:rPr>
              <w:t>Registered Borrowers</w:t>
            </w:r>
          </w:p>
        </w:tc>
        <w:tc>
          <w:tcPr>
            <w:tcW w:w="1440" w:type="dxa"/>
            <w:tcBorders>
              <w:top w:val="single" w:sz="4" w:space="0" w:color="000000"/>
              <w:left w:val="single" w:sz="6" w:space="0" w:color="000000"/>
              <w:bottom w:val="single" w:sz="6" w:space="0" w:color="000000"/>
              <w:right w:val="single" w:sz="6" w:space="0" w:color="000000"/>
            </w:tcBorders>
            <w:shd w:val="clear" w:color="auto" w:fill="auto"/>
            <w:vAlign w:val="bottom"/>
          </w:tcPr>
          <w:p w14:paraId="177CA4A0" w14:textId="77777777" w:rsidR="00FC69A1" w:rsidRPr="007C5A97" w:rsidRDefault="00FC69A1" w:rsidP="00FC69A1">
            <w:pPr>
              <w:jc w:val="center"/>
              <w:rPr>
                <w:b/>
                <w:sz w:val="22"/>
              </w:rPr>
            </w:pPr>
            <w:r w:rsidRPr="007C5A97">
              <w:rPr>
                <w:b/>
                <w:sz w:val="22"/>
              </w:rPr>
              <w:t>Reference Transactions</w:t>
            </w:r>
          </w:p>
        </w:tc>
        <w:tc>
          <w:tcPr>
            <w:tcW w:w="117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3C44905" w14:textId="77777777" w:rsidR="00FC69A1" w:rsidRPr="007C5A97" w:rsidRDefault="00FC69A1" w:rsidP="00FC69A1">
            <w:pPr>
              <w:jc w:val="center"/>
              <w:rPr>
                <w:b/>
                <w:sz w:val="22"/>
              </w:rPr>
            </w:pPr>
            <w:r w:rsidRPr="007C5A97">
              <w:rPr>
                <w:b/>
                <w:sz w:val="22"/>
              </w:rPr>
              <w:t>Program Attendance</w:t>
            </w:r>
          </w:p>
        </w:tc>
        <w:tc>
          <w:tcPr>
            <w:tcW w:w="135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C3215D0" w14:textId="77777777" w:rsidR="00FC69A1" w:rsidRPr="007C5A97" w:rsidRDefault="00FC69A1" w:rsidP="00FC69A1">
            <w:pPr>
              <w:jc w:val="center"/>
              <w:rPr>
                <w:b/>
                <w:sz w:val="22"/>
              </w:rPr>
            </w:pPr>
            <w:r w:rsidRPr="007C5A97">
              <w:rPr>
                <w:b/>
                <w:sz w:val="22"/>
              </w:rPr>
              <w:t>Total Operating Expenditures</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87BB3F6" w14:textId="77777777" w:rsidR="00FC69A1" w:rsidRPr="007C5A97" w:rsidRDefault="00FC69A1" w:rsidP="00FC69A1">
            <w:pPr>
              <w:jc w:val="center"/>
              <w:rPr>
                <w:b/>
                <w:sz w:val="22"/>
              </w:rPr>
            </w:pPr>
            <w:r w:rsidRPr="007C5A97">
              <w:rPr>
                <w:b/>
                <w:sz w:val="22"/>
              </w:rPr>
              <w:t>Annual public service hours</w:t>
            </w:r>
          </w:p>
        </w:tc>
        <w:tc>
          <w:tcPr>
            <w:tcW w:w="1350" w:type="dxa"/>
            <w:tcBorders>
              <w:top w:val="single" w:sz="4"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bottom"/>
          </w:tcPr>
          <w:p w14:paraId="6CB3D7AE" w14:textId="77777777" w:rsidR="00FC69A1" w:rsidRPr="007C5A97" w:rsidRDefault="00FC69A1" w:rsidP="00FC69A1">
            <w:pPr>
              <w:jc w:val="center"/>
              <w:rPr>
                <w:b/>
                <w:sz w:val="22"/>
              </w:rPr>
            </w:pPr>
            <w:r w:rsidRPr="007C5A97">
              <w:rPr>
                <w:b/>
                <w:sz w:val="22"/>
              </w:rPr>
              <w:t>Library Collection Expenditures</w:t>
            </w:r>
          </w:p>
        </w:tc>
      </w:tr>
      <w:tr w:rsidR="00FC69A1" w:rsidRPr="00660A53" w14:paraId="05A278AC" w14:textId="77777777" w:rsidTr="00FC69A1">
        <w:trPr>
          <w:cantSplit/>
          <w:trHeight w:val="349"/>
        </w:trPr>
        <w:tc>
          <w:tcPr>
            <w:tcW w:w="1018" w:type="dxa"/>
            <w:tcBorders>
              <w:top w:val="single" w:sz="6" w:space="0" w:color="000000"/>
              <w:left w:val="single" w:sz="4" w:space="0" w:color="000000"/>
              <w:bottom w:val="single" w:sz="6" w:space="0" w:color="000000"/>
              <w:right w:val="single" w:sz="6" w:space="0" w:color="000000"/>
            </w:tcBorders>
            <w:shd w:val="clear" w:color="auto" w:fill="auto"/>
            <w:vAlign w:val="bottom"/>
          </w:tcPr>
          <w:p w14:paraId="4A71A876" w14:textId="77777777" w:rsidR="00FC69A1" w:rsidRPr="00660A53" w:rsidRDefault="00FC69A1" w:rsidP="00FC69A1">
            <w:pPr>
              <w:rPr>
                <w:sz w:val="22"/>
              </w:rPr>
            </w:pPr>
          </w:p>
          <w:p w14:paraId="05589F52" w14:textId="77777777" w:rsidR="00FC69A1" w:rsidRPr="00660A53" w:rsidRDefault="00FC69A1" w:rsidP="00FC69A1">
            <w:pPr>
              <w:rPr>
                <w:sz w:val="22"/>
              </w:rPr>
            </w:pPr>
            <w:r w:rsidRPr="00660A53">
              <w:rPr>
                <w:sz w:val="22"/>
              </w:rPr>
              <w:t>FY</w:t>
            </w:r>
            <w:r>
              <w:rPr>
                <w:sz w:val="22"/>
              </w:rPr>
              <w:t xml:space="preserve"> 20</w:t>
            </w:r>
            <w:r w:rsidRPr="00660A53">
              <w:rPr>
                <w:sz w:val="22"/>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3E4C835" w14:textId="77777777" w:rsidR="00FC69A1" w:rsidRPr="00660A53" w:rsidRDefault="00FC69A1" w:rsidP="00FC69A1">
            <w:pPr>
              <w:jc w:val="right"/>
              <w:rPr>
                <w:sz w:val="22"/>
              </w:rPr>
            </w:pPr>
            <w:r w:rsidRPr="00660A53">
              <w:rPr>
                <w:sz w:val="22"/>
              </w:rPr>
              <w:t>78,600</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AE174AA" w14:textId="77777777" w:rsidR="00FC69A1" w:rsidRPr="00660A53" w:rsidRDefault="00FC69A1" w:rsidP="00FC69A1">
            <w:pPr>
              <w:jc w:val="right"/>
              <w:rPr>
                <w:sz w:val="22"/>
              </w:rPr>
            </w:pPr>
            <w:r w:rsidRPr="00660A53">
              <w:rPr>
                <w:sz w:val="22"/>
              </w:rPr>
              <w:t>492,695</w:t>
            </w:r>
          </w:p>
        </w:tc>
        <w:tc>
          <w:tcPr>
            <w:tcW w:w="1260" w:type="dxa"/>
            <w:tcBorders>
              <w:top w:val="single" w:sz="6" w:space="0" w:color="000000"/>
              <w:left w:val="single" w:sz="6" w:space="0" w:color="000000"/>
              <w:bottom w:val="single" w:sz="6" w:space="0" w:color="000000"/>
              <w:right w:val="single" w:sz="6" w:space="0" w:color="000000"/>
            </w:tcBorders>
            <w:vAlign w:val="bottom"/>
          </w:tcPr>
          <w:p w14:paraId="66458EAC" w14:textId="77777777" w:rsidR="00FC69A1" w:rsidRPr="00660A53" w:rsidRDefault="00FC69A1" w:rsidP="00FC69A1">
            <w:pPr>
              <w:jc w:val="right"/>
              <w:rPr>
                <w:sz w:val="22"/>
              </w:rPr>
            </w:pPr>
            <w:r>
              <w:rPr>
                <w:sz w:val="22"/>
              </w:rPr>
              <w:t>34,840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57F5280" w14:textId="77777777" w:rsidR="00FC69A1" w:rsidRPr="00660A53" w:rsidRDefault="00FC69A1" w:rsidP="00FC69A1">
            <w:pPr>
              <w:jc w:val="right"/>
              <w:rPr>
                <w:sz w:val="22"/>
              </w:rPr>
            </w:pPr>
            <w:r w:rsidRPr="00660A53">
              <w:rPr>
                <w:sz w:val="22"/>
              </w:rPr>
              <w:t>31,094</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08CAF32" w14:textId="77777777" w:rsidR="00FC69A1" w:rsidRPr="00660A53" w:rsidRDefault="00FC69A1" w:rsidP="00FC69A1">
            <w:pPr>
              <w:jc w:val="right"/>
              <w:rPr>
                <w:sz w:val="22"/>
              </w:rPr>
            </w:pPr>
            <w:r w:rsidRPr="00660A53">
              <w:rPr>
                <w:sz w:val="22"/>
              </w:rPr>
              <w:t>3,874</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02A01EE" w14:textId="77777777" w:rsidR="00FC69A1" w:rsidRPr="00660A53" w:rsidRDefault="00FC69A1" w:rsidP="00FC69A1">
            <w:pPr>
              <w:jc w:val="right"/>
              <w:rPr>
                <w:sz w:val="22"/>
              </w:rPr>
            </w:pPr>
            <w:r w:rsidRPr="00660A53">
              <w:rPr>
                <w:sz w:val="22"/>
              </w:rPr>
              <w:t>$1,290,348</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698EF77" w14:textId="77777777" w:rsidR="00FC69A1" w:rsidRPr="00660A53" w:rsidRDefault="00FC69A1" w:rsidP="00FC69A1">
            <w:pPr>
              <w:jc w:val="right"/>
              <w:rPr>
                <w:sz w:val="22"/>
              </w:rPr>
            </w:pPr>
            <w:r w:rsidRPr="00660A53">
              <w:rPr>
                <w:sz w:val="22"/>
              </w:rPr>
              <w:t>3,712</w:t>
            </w:r>
          </w:p>
        </w:tc>
        <w:tc>
          <w:tcPr>
            <w:tcW w:w="1350"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bottom"/>
          </w:tcPr>
          <w:p w14:paraId="54276033" w14:textId="77777777" w:rsidR="00FC69A1" w:rsidRPr="00660A53" w:rsidRDefault="00FC69A1" w:rsidP="00FC69A1">
            <w:pPr>
              <w:jc w:val="right"/>
              <w:rPr>
                <w:sz w:val="22"/>
              </w:rPr>
            </w:pPr>
            <w:r w:rsidRPr="00660A53">
              <w:rPr>
                <w:sz w:val="22"/>
              </w:rPr>
              <w:t>$85,476</w:t>
            </w:r>
          </w:p>
        </w:tc>
      </w:tr>
      <w:tr w:rsidR="00FC69A1" w:rsidRPr="00660A53" w14:paraId="721E51CB" w14:textId="77777777" w:rsidTr="00FC69A1">
        <w:trPr>
          <w:cantSplit/>
          <w:trHeight w:val="443"/>
        </w:trPr>
        <w:tc>
          <w:tcPr>
            <w:tcW w:w="1018" w:type="dxa"/>
            <w:tcBorders>
              <w:top w:val="single" w:sz="6" w:space="0" w:color="000000"/>
              <w:left w:val="single" w:sz="4" w:space="0" w:color="000000"/>
              <w:bottom w:val="single" w:sz="6" w:space="0" w:color="000000"/>
              <w:right w:val="single" w:sz="6" w:space="0" w:color="000000"/>
            </w:tcBorders>
            <w:shd w:val="clear" w:color="auto" w:fill="auto"/>
            <w:vAlign w:val="bottom"/>
          </w:tcPr>
          <w:p w14:paraId="44FC006D" w14:textId="77777777" w:rsidR="00FC69A1" w:rsidRPr="00660A53" w:rsidRDefault="00FC69A1" w:rsidP="00FC69A1">
            <w:pPr>
              <w:rPr>
                <w:sz w:val="22"/>
              </w:rPr>
            </w:pPr>
          </w:p>
          <w:p w14:paraId="12A93A4E" w14:textId="77777777" w:rsidR="00FC69A1" w:rsidRPr="00660A53" w:rsidRDefault="00FC69A1" w:rsidP="00FC69A1">
            <w:pPr>
              <w:rPr>
                <w:sz w:val="22"/>
              </w:rPr>
            </w:pPr>
            <w:r>
              <w:rPr>
                <w:sz w:val="22"/>
              </w:rPr>
              <w:t xml:space="preserve">FY </w:t>
            </w:r>
            <w:r w:rsidRPr="00660A53">
              <w:rPr>
                <w:sz w:val="22"/>
              </w:rPr>
              <w:t>2006</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12E7A9C" w14:textId="77777777" w:rsidR="00FC69A1" w:rsidRPr="00660A53" w:rsidRDefault="00FC69A1" w:rsidP="00FC69A1">
            <w:pPr>
              <w:jc w:val="right"/>
              <w:rPr>
                <w:sz w:val="22"/>
              </w:rPr>
            </w:pPr>
            <w:r w:rsidRPr="00660A53">
              <w:rPr>
                <w:sz w:val="22"/>
              </w:rPr>
              <w:t>79,645</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F2275F4" w14:textId="77777777" w:rsidR="00FC69A1" w:rsidRPr="00660A53" w:rsidRDefault="00FC69A1" w:rsidP="00FC69A1">
            <w:pPr>
              <w:jc w:val="right"/>
              <w:rPr>
                <w:sz w:val="22"/>
              </w:rPr>
            </w:pPr>
            <w:r w:rsidRPr="00660A53">
              <w:rPr>
                <w:sz w:val="22"/>
              </w:rPr>
              <w:t>485,901</w:t>
            </w:r>
          </w:p>
        </w:tc>
        <w:tc>
          <w:tcPr>
            <w:tcW w:w="1260" w:type="dxa"/>
            <w:tcBorders>
              <w:top w:val="single" w:sz="6" w:space="0" w:color="000000"/>
              <w:left w:val="single" w:sz="6" w:space="0" w:color="000000"/>
              <w:bottom w:val="single" w:sz="6" w:space="0" w:color="000000"/>
              <w:right w:val="single" w:sz="6" w:space="0" w:color="000000"/>
            </w:tcBorders>
            <w:vAlign w:val="bottom"/>
          </w:tcPr>
          <w:p w14:paraId="18141631" w14:textId="77777777" w:rsidR="00FC69A1" w:rsidRPr="00660A53" w:rsidRDefault="00FC69A1" w:rsidP="00FC69A1">
            <w:pPr>
              <w:jc w:val="right"/>
              <w:rPr>
                <w:sz w:val="22"/>
              </w:rPr>
            </w:pPr>
            <w:r>
              <w:rPr>
                <w:sz w:val="22"/>
              </w:rPr>
              <w:t>36,942</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5A42141" w14:textId="77777777" w:rsidR="00FC69A1" w:rsidRPr="00660A53" w:rsidRDefault="00FC69A1" w:rsidP="00FC69A1">
            <w:pPr>
              <w:jc w:val="right"/>
              <w:rPr>
                <w:sz w:val="22"/>
              </w:rPr>
            </w:pPr>
            <w:r w:rsidRPr="00660A53">
              <w:rPr>
                <w:sz w:val="22"/>
              </w:rPr>
              <w:t>27,452</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49C9115" w14:textId="77777777" w:rsidR="00FC69A1" w:rsidRPr="00660A53" w:rsidRDefault="00FC69A1" w:rsidP="00FC69A1">
            <w:pPr>
              <w:jc w:val="right"/>
              <w:rPr>
                <w:sz w:val="22"/>
              </w:rPr>
            </w:pPr>
            <w:r w:rsidRPr="00660A53">
              <w:rPr>
                <w:sz w:val="22"/>
              </w:rPr>
              <w:t>3,387</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5769DA2" w14:textId="77777777" w:rsidR="00FC69A1" w:rsidRPr="00660A53" w:rsidRDefault="00FC69A1" w:rsidP="00FC69A1">
            <w:pPr>
              <w:jc w:val="right"/>
              <w:rPr>
                <w:sz w:val="22"/>
              </w:rPr>
            </w:pPr>
            <w:r w:rsidRPr="00660A53">
              <w:rPr>
                <w:sz w:val="22"/>
              </w:rPr>
              <w:t>$998,252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428A22DF" w14:textId="77777777" w:rsidR="00FC69A1" w:rsidRPr="00660A53" w:rsidRDefault="00FC69A1" w:rsidP="00FC69A1">
            <w:pPr>
              <w:jc w:val="right"/>
              <w:rPr>
                <w:sz w:val="22"/>
              </w:rPr>
            </w:pPr>
            <w:r w:rsidRPr="00660A53">
              <w:rPr>
                <w:sz w:val="22"/>
              </w:rPr>
              <w:t>3,746</w:t>
            </w:r>
          </w:p>
        </w:tc>
        <w:tc>
          <w:tcPr>
            <w:tcW w:w="1350"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bottom"/>
          </w:tcPr>
          <w:p w14:paraId="4868A8BE" w14:textId="77777777" w:rsidR="00FC69A1" w:rsidRPr="00660A53" w:rsidRDefault="00FC69A1" w:rsidP="00FC69A1">
            <w:pPr>
              <w:jc w:val="right"/>
              <w:rPr>
                <w:sz w:val="22"/>
              </w:rPr>
            </w:pPr>
            <w:r w:rsidRPr="00660A53">
              <w:rPr>
                <w:sz w:val="22"/>
              </w:rPr>
              <w:t>$61,518</w:t>
            </w:r>
          </w:p>
        </w:tc>
      </w:tr>
      <w:tr w:rsidR="00FC69A1" w:rsidRPr="00660A53" w14:paraId="5C111845" w14:textId="77777777" w:rsidTr="00FC69A1">
        <w:trPr>
          <w:cantSplit/>
          <w:trHeight w:val="443"/>
        </w:trPr>
        <w:tc>
          <w:tcPr>
            <w:tcW w:w="1018" w:type="dxa"/>
            <w:tcBorders>
              <w:top w:val="single" w:sz="6" w:space="0" w:color="000000"/>
              <w:left w:val="single" w:sz="4" w:space="0" w:color="000000"/>
              <w:bottom w:val="single" w:sz="6" w:space="0" w:color="000000"/>
              <w:right w:val="single" w:sz="6" w:space="0" w:color="000000"/>
            </w:tcBorders>
            <w:shd w:val="clear" w:color="auto" w:fill="auto"/>
            <w:vAlign w:val="bottom"/>
          </w:tcPr>
          <w:p w14:paraId="1034D19C" w14:textId="77777777" w:rsidR="00FC69A1" w:rsidRPr="00660A53" w:rsidRDefault="00FC69A1" w:rsidP="00FC69A1">
            <w:pPr>
              <w:rPr>
                <w:sz w:val="22"/>
              </w:rPr>
            </w:pPr>
          </w:p>
          <w:p w14:paraId="555A00B2" w14:textId="77777777" w:rsidR="00FC69A1" w:rsidRPr="00660A53" w:rsidRDefault="00FC69A1" w:rsidP="00FC69A1">
            <w:pPr>
              <w:rPr>
                <w:sz w:val="22"/>
              </w:rPr>
            </w:pPr>
            <w:r>
              <w:rPr>
                <w:sz w:val="22"/>
              </w:rPr>
              <w:t xml:space="preserve">FY </w:t>
            </w:r>
            <w:r w:rsidRPr="00660A53">
              <w:rPr>
                <w:sz w:val="22"/>
              </w:rPr>
              <w:t>2007</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8D9A140" w14:textId="77777777" w:rsidR="00FC69A1" w:rsidRPr="00660A53" w:rsidRDefault="00FC69A1" w:rsidP="00FC69A1">
            <w:pPr>
              <w:jc w:val="right"/>
              <w:rPr>
                <w:sz w:val="22"/>
              </w:rPr>
            </w:pPr>
            <w:r w:rsidRPr="00660A53">
              <w:rPr>
                <w:sz w:val="22"/>
              </w:rPr>
              <w:t>81,125</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00C065D" w14:textId="77777777" w:rsidR="00FC69A1" w:rsidRPr="00660A53" w:rsidRDefault="00FC69A1" w:rsidP="00FC69A1">
            <w:pPr>
              <w:jc w:val="right"/>
              <w:rPr>
                <w:sz w:val="22"/>
              </w:rPr>
            </w:pPr>
            <w:r w:rsidRPr="00660A53">
              <w:rPr>
                <w:sz w:val="22"/>
              </w:rPr>
              <w:t>316,227</w:t>
            </w:r>
          </w:p>
        </w:tc>
        <w:tc>
          <w:tcPr>
            <w:tcW w:w="1260" w:type="dxa"/>
            <w:tcBorders>
              <w:top w:val="single" w:sz="6" w:space="0" w:color="000000"/>
              <w:left w:val="single" w:sz="6" w:space="0" w:color="000000"/>
              <w:bottom w:val="single" w:sz="6" w:space="0" w:color="000000"/>
              <w:right w:val="single" w:sz="6" w:space="0" w:color="000000"/>
            </w:tcBorders>
            <w:vAlign w:val="bottom"/>
          </w:tcPr>
          <w:p w14:paraId="785D1033" w14:textId="77777777" w:rsidR="00FC69A1" w:rsidRPr="00660A53" w:rsidRDefault="00FC69A1" w:rsidP="00FC69A1">
            <w:pPr>
              <w:jc w:val="right"/>
              <w:rPr>
                <w:sz w:val="22"/>
              </w:rPr>
            </w:pPr>
            <w:r>
              <w:rPr>
                <w:sz w:val="22"/>
              </w:rPr>
              <w:t>37,325</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5435C61" w14:textId="77777777" w:rsidR="00FC69A1" w:rsidRPr="00660A53" w:rsidRDefault="00FC69A1" w:rsidP="00FC69A1">
            <w:pPr>
              <w:jc w:val="right"/>
              <w:rPr>
                <w:sz w:val="22"/>
              </w:rPr>
            </w:pPr>
            <w:r w:rsidRPr="00660A53">
              <w:rPr>
                <w:sz w:val="22"/>
              </w:rPr>
              <w:t>1,490</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43BC5CA" w14:textId="77777777" w:rsidR="00FC69A1" w:rsidRPr="00660A53" w:rsidRDefault="00FC69A1" w:rsidP="00FC69A1">
            <w:pPr>
              <w:jc w:val="right"/>
              <w:rPr>
                <w:sz w:val="22"/>
              </w:rPr>
            </w:pPr>
            <w:r w:rsidRPr="00660A53">
              <w:rPr>
                <w:sz w:val="22"/>
              </w:rPr>
              <w:t>0</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41F93FA" w14:textId="77777777" w:rsidR="00FC69A1" w:rsidRPr="00660A53" w:rsidRDefault="00FC69A1" w:rsidP="00FC69A1">
            <w:pPr>
              <w:jc w:val="right"/>
              <w:rPr>
                <w:sz w:val="22"/>
              </w:rPr>
            </w:pPr>
            <w:r w:rsidRPr="00660A53">
              <w:rPr>
                <w:sz w:val="22"/>
              </w:rPr>
              <w:t>$552,485</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A7C9D22" w14:textId="77777777" w:rsidR="00FC69A1" w:rsidRPr="00660A53" w:rsidRDefault="00FC69A1" w:rsidP="00FC69A1">
            <w:pPr>
              <w:jc w:val="right"/>
              <w:rPr>
                <w:sz w:val="22"/>
              </w:rPr>
            </w:pPr>
            <w:r w:rsidRPr="00660A53">
              <w:rPr>
                <w:sz w:val="22"/>
              </w:rPr>
              <w:t>1,612</w:t>
            </w:r>
          </w:p>
        </w:tc>
        <w:tc>
          <w:tcPr>
            <w:tcW w:w="1350"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bottom"/>
          </w:tcPr>
          <w:p w14:paraId="49A50DD9" w14:textId="77777777" w:rsidR="00FC69A1" w:rsidRPr="00660A53" w:rsidRDefault="00FC69A1" w:rsidP="00FC69A1">
            <w:pPr>
              <w:jc w:val="right"/>
              <w:rPr>
                <w:sz w:val="22"/>
              </w:rPr>
            </w:pPr>
            <w:r w:rsidRPr="00660A53">
              <w:rPr>
                <w:sz w:val="22"/>
              </w:rPr>
              <w:t>$14,106</w:t>
            </w:r>
          </w:p>
        </w:tc>
      </w:tr>
      <w:tr w:rsidR="00FC69A1" w:rsidRPr="00660A53" w14:paraId="65BECDD2" w14:textId="77777777" w:rsidTr="00FC69A1">
        <w:trPr>
          <w:cantSplit/>
          <w:trHeight w:val="503"/>
        </w:trPr>
        <w:tc>
          <w:tcPr>
            <w:tcW w:w="1018" w:type="dxa"/>
            <w:tcBorders>
              <w:top w:val="single" w:sz="6" w:space="0" w:color="000000"/>
              <w:left w:val="single" w:sz="4" w:space="0" w:color="000000"/>
              <w:bottom w:val="single" w:sz="4" w:space="0" w:color="000000"/>
              <w:right w:val="single" w:sz="6" w:space="0" w:color="000000"/>
            </w:tcBorders>
            <w:shd w:val="clear" w:color="auto" w:fill="auto"/>
            <w:vAlign w:val="bottom"/>
          </w:tcPr>
          <w:p w14:paraId="16DCF220" w14:textId="77777777" w:rsidR="00FC69A1" w:rsidRDefault="00FC69A1" w:rsidP="00FC69A1">
            <w:pPr>
              <w:rPr>
                <w:sz w:val="22"/>
              </w:rPr>
            </w:pPr>
          </w:p>
          <w:p w14:paraId="35416E0C" w14:textId="77777777" w:rsidR="00FC69A1" w:rsidRPr="00660A53" w:rsidRDefault="00FC69A1" w:rsidP="00FC69A1">
            <w:pPr>
              <w:rPr>
                <w:sz w:val="22"/>
              </w:rPr>
            </w:pPr>
            <w:r>
              <w:rPr>
                <w:sz w:val="22"/>
              </w:rPr>
              <w:t>FY 2008</w:t>
            </w:r>
          </w:p>
        </w:tc>
        <w:tc>
          <w:tcPr>
            <w:tcW w:w="1260" w:type="dxa"/>
            <w:tcBorders>
              <w:top w:val="single" w:sz="6" w:space="0" w:color="000000"/>
              <w:left w:val="single" w:sz="6" w:space="0" w:color="000000"/>
              <w:bottom w:val="single" w:sz="4" w:space="0" w:color="000000"/>
              <w:right w:val="single" w:sz="6" w:space="0" w:color="000000"/>
            </w:tcBorders>
            <w:shd w:val="clear" w:color="auto" w:fill="auto"/>
            <w:vAlign w:val="bottom"/>
          </w:tcPr>
          <w:p w14:paraId="2A279395" w14:textId="77777777" w:rsidR="00FC69A1" w:rsidRPr="00660A53" w:rsidRDefault="00FC69A1" w:rsidP="00FC69A1">
            <w:pPr>
              <w:jc w:val="right"/>
              <w:rPr>
                <w:sz w:val="22"/>
              </w:rPr>
            </w:pPr>
          </w:p>
        </w:tc>
        <w:tc>
          <w:tcPr>
            <w:tcW w:w="1350" w:type="dxa"/>
            <w:tcBorders>
              <w:top w:val="single" w:sz="6" w:space="0" w:color="000000"/>
              <w:left w:val="single" w:sz="6" w:space="0" w:color="000000"/>
              <w:bottom w:val="single" w:sz="4" w:space="0" w:color="000000"/>
              <w:right w:val="single" w:sz="6" w:space="0" w:color="000000"/>
            </w:tcBorders>
            <w:shd w:val="clear" w:color="auto" w:fill="auto"/>
            <w:vAlign w:val="bottom"/>
          </w:tcPr>
          <w:p w14:paraId="4B559112" w14:textId="77777777" w:rsidR="00FC69A1" w:rsidRPr="00660A53" w:rsidRDefault="00FC69A1" w:rsidP="00FC69A1">
            <w:pPr>
              <w:jc w:val="right"/>
              <w:rPr>
                <w:sz w:val="22"/>
              </w:rPr>
            </w:pPr>
          </w:p>
        </w:tc>
        <w:tc>
          <w:tcPr>
            <w:tcW w:w="1260" w:type="dxa"/>
            <w:tcBorders>
              <w:top w:val="single" w:sz="6" w:space="0" w:color="000000"/>
              <w:left w:val="single" w:sz="6" w:space="0" w:color="000000"/>
              <w:bottom w:val="single" w:sz="4" w:space="0" w:color="000000"/>
              <w:right w:val="single" w:sz="6" w:space="0" w:color="000000"/>
            </w:tcBorders>
            <w:vAlign w:val="bottom"/>
          </w:tcPr>
          <w:p w14:paraId="2CAB467E" w14:textId="77777777" w:rsidR="00FC69A1" w:rsidRPr="00660A53" w:rsidRDefault="00FC69A1" w:rsidP="00FC69A1">
            <w:pPr>
              <w:jc w:val="right"/>
              <w:rPr>
                <w:sz w:val="22"/>
              </w:rPr>
            </w:pPr>
          </w:p>
        </w:tc>
        <w:tc>
          <w:tcPr>
            <w:tcW w:w="1440" w:type="dxa"/>
            <w:tcBorders>
              <w:top w:val="single" w:sz="6" w:space="0" w:color="000000"/>
              <w:left w:val="single" w:sz="6" w:space="0" w:color="000000"/>
              <w:bottom w:val="single" w:sz="4" w:space="0" w:color="000000"/>
              <w:right w:val="single" w:sz="6" w:space="0" w:color="000000"/>
            </w:tcBorders>
            <w:shd w:val="clear" w:color="auto" w:fill="auto"/>
            <w:vAlign w:val="bottom"/>
          </w:tcPr>
          <w:p w14:paraId="41BC1947" w14:textId="77777777" w:rsidR="00FC69A1" w:rsidRPr="00660A53" w:rsidRDefault="00FC69A1" w:rsidP="00FC69A1">
            <w:pPr>
              <w:jc w:val="right"/>
              <w:rPr>
                <w:sz w:val="22"/>
              </w:rPr>
            </w:pPr>
          </w:p>
        </w:tc>
        <w:tc>
          <w:tcPr>
            <w:tcW w:w="117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bottom"/>
          </w:tcPr>
          <w:p w14:paraId="682299E6" w14:textId="77777777" w:rsidR="00FC69A1" w:rsidRPr="00660A53" w:rsidRDefault="00FC69A1" w:rsidP="00FC69A1">
            <w:pPr>
              <w:jc w:val="right"/>
              <w:rPr>
                <w:sz w:val="22"/>
              </w:rPr>
            </w:pPr>
          </w:p>
        </w:tc>
        <w:tc>
          <w:tcPr>
            <w:tcW w:w="135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bottom"/>
          </w:tcPr>
          <w:p w14:paraId="1276F5FB" w14:textId="77777777" w:rsidR="00FC69A1" w:rsidRPr="00660A53" w:rsidRDefault="00FC69A1" w:rsidP="00FC69A1">
            <w:pPr>
              <w:jc w:val="right"/>
              <w:rPr>
                <w:sz w:val="22"/>
              </w:rPr>
            </w:pP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bottom"/>
          </w:tcPr>
          <w:p w14:paraId="78C76776" w14:textId="77777777" w:rsidR="00FC69A1" w:rsidRPr="00660A53" w:rsidRDefault="00FC69A1" w:rsidP="00FC69A1">
            <w:pPr>
              <w:jc w:val="right"/>
              <w:rPr>
                <w:sz w:val="22"/>
              </w:rPr>
            </w:pPr>
          </w:p>
        </w:tc>
        <w:tc>
          <w:tcPr>
            <w:tcW w:w="1350" w:type="dxa"/>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4D90C6F" w14:textId="77777777" w:rsidR="00FC69A1" w:rsidRPr="00660A53" w:rsidRDefault="00FC69A1" w:rsidP="00FC69A1">
            <w:pPr>
              <w:jc w:val="right"/>
              <w:rPr>
                <w:sz w:val="22"/>
              </w:rPr>
            </w:pPr>
            <w:r>
              <w:rPr>
                <w:sz w:val="22"/>
              </w:rPr>
              <w:t>CLOSED</w:t>
            </w:r>
          </w:p>
        </w:tc>
      </w:tr>
      <w:tr w:rsidR="00FC69A1" w:rsidRPr="00660A53" w14:paraId="58A2A387" w14:textId="77777777" w:rsidTr="00FC69A1">
        <w:trPr>
          <w:cantSplit/>
          <w:trHeight w:val="246"/>
        </w:trPr>
        <w:tc>
          <w:tcPr>
            <w:tcW w:w="1018" w:type="dxa"/>
            <w:tcBorders>
              <w:top w:val="single" w:sz="6" w:space="0" w:color="000000"/>
              <w:left w:val="single" w:sz="4" w:space="0" w:color="000000"/>
              <w:bottom w:val="single" w:sz="4" w:space="0" w:color="000000"/>
              <w:right w:val="single" w:sz="6" w:space="0" w:color="000000"/>
            </w:tcBorders>
            <w:shd w:val="clear" w:color="auto" w:fill="auto"/>
            <w:vAlign w:val="bottom"/>
          </w:tcPr>
          <w:p w14:paraId="63EAE6C6" w14:textId="77777777" w:rsidR="00FC69A1" w:rsidRDefault="00FC69A1" w:rsidP="00FC69A1">
            <w:pPr>
              <w:rPr>
                <w:sz w:val="22"/>
              </w:rPr>
            </w:pPr>
          </w:p>
          <w:p w14:paraId="45A432F0" w14:textId="77777777" w:rsidR="00FC69A1" w:rsidRDefault="00FC69A1" w:rsidP="00FC69A1">
            <w:pPr>
              <w:rPr>
                <w:sz w:val="22"/>
              </w:rPr>
            </w:pPr>
            <w:r>
              <w:rPr>
                <w:sz w:val="22"/>
              </w:rPr>
              <w:t>FY 2009</w:t>
            </w:r>
          </w:p>
        </w:tc>
        <w:tc>
          <w:tcPr>
            <w:tcW w:w="1260" w:type="dxa"/>
            <w:tcBorders>
              <w:top w:val="single" w:sz="6" w:space="0" w:color="000000"/>
              <w:left w:val="single" w:sz="6" w:space="0" w:color="000000"/>
              <w:bottom w:val="single" w:sz="4" w:space="0" w:color="000000"/>
              <w:right w:val="single" w:sz="6" w:space="0" w:color="000000"/>
            </w:tcBorders>
            <w:shd w:val="clear" w:color="auto" w:fill="auto"/>
            <w:vAlign w:val="bottom"/>
          </w:tcPr>
          <w:p w14:paraId="47430870" w14:textId="77777777" w:rsidR="00FC69A1" w:rsidRPr="00660A53" w:rsidRDefault="00FC69A1" w:rsidP="00FC69A1">
            <w:pPr>
              <w:jc w:val="right"/>
              <w:rPr>
                <w:sz w:val="22"/>
              </w:rPr>
            </w:pPr>
            <w:r>
              <w:rPr>
                <w:sz w:val="22"/>
              </w:rPr>
              <w:t>83,290</w:t>
            </w:r>
          </w:p>
        </w:tc>
        <w:tc>
          <w:tcPr>
            <w:tcW w:w="1350" w:type="dxa"/>
            <w:tcBorders>
              <w:top w:val="single" w:sz="6" w:space="0" w:color="000000"/>
              <w:left w:val="single" w:sz="6" w:space="0" w:color="000000"/>
              <w:bottom w:val="single" w:sz="4" w:space="0" w:color="000000"/>
              <w:right w:val="single" w:sz="6" w:space="0" w:color="000000"/>
            </w:tcBorders>
            <w:shd w:val="clear" w:color="auto" w:fill="auto"/>
            <w:vAlign w:val="bottom"/>
          </w:tcPr>
          <w:p w14:paraId="71A79610" w14:textId="77777777" w:rsidR="00FC69A1" w:rsidRPr="00660A53" w:rsidRDefault="00FC69A1" w:rsidP="00FC69A1">
            <w:pPr>
              <w:jc w:val="right"/>
              <w:rPr>
                <w:sz w:val="22"/>
              </w:rPr>
            </w:pPr>
            <w:r>
              <w:rPr>
                <w:sz w:val="22"/>
              </w:rPr>
              <w:t>102,695</w:t>
            </w:r>
          </w:p>
        </w:tc>
        <w:tc>
          <w:tcPr>
            <w:tcW w:w="1260" w:type="dxa"/>
            <w:tcBorders>
              <w:top w:val="single" w:sz="6" w:space="0" w:color="000000"/>
              <w:left w:val="single" w:sz="6" w:space="0" w:color="000000"/>
              <w:bottom w:val="single" w:sz="4" w:space="0" w:color="000000"/>
              <w:right w:val="single" w:sz="6" w:space="0" w:color="000000"/>
            </w:tcBorders>
            <w:vAlign w:val="bottom"/>
          </w:tcPr>
          <w:p w14:paraId="4534DACC" w14:textId="77777777" w:rsidR="00FC69A1" w:rsidRPr="00660A53" w:rsidRDefault="00FC69A1" w:rsidP="00FC69A1">
            <w:pPr>
              <w:jc w:val="right"/>
              <w:rPr>
                <w:sz w:val="22"/>
              </w:rPr>
            </w:pPr>
            <w:r>
              <w:rPr>
                <w:sz w:val="22"/>
              </w:rPr>
              <w:t>4,482</w:t>
            </w:r>
          </w:p>
        </w:tc>
        <w:tc>
          <w:tcPr>
            <w:tcW w:w="1440" w:type="dxa"/>
            <w:tcBorders>
              <w:top w:val="single" w:sz="6" w:space="0" w:color="000000"/>
              <w:left w:val="single" w:sz="6" w:space="0" w:color="000000"/>
              <w:bottom w:val="single" w:sz="4" w:space="0" w:color="000000"/>
              <w:right w:val="single" w:sz="6" w:space="0" w:color="000000"/>
            </w:tcBorders>
            <w:shd w:val="clear" w:color="auto" w:fill="auto"/>
            <w:vAlign w:val="bottom"/>
          </w:tcPr>
          <w:p w14:paraId="17BAAF09" w14:textId="77777777" w:rsidR="00FC69A1" w:rsidRPr="00660A53" w:rsidRDefault="00FC69A1" w:rsidP="00FC69A1">
            <w:pPr>
              <w:jc w:val="right"/>
              <w:rPr>
                <w:sz w:val="22"/>
              </w:rPr>
            </w:pPr>
            <w:proofErr w:type="spellStart"/>
            <w:proofErr w:type="gramStart"/>
            <w:r>
              <w:rPr>
                <w:sz w:val="22"/>
              </w:rPr>
              <w:t>n</w:t>
            </w:r>
            <w:proofErr w:type="gramEnd"/>
            <w:r>
              <w:rPr>
                <w:sz w:val="22"/>
              </w:rPr>
              <w:t>.c</w:t>
            </w:r>
            <w:proofErr w:type="spellEnd"/>
          </w:p>
        </w:tc>
        <w:tc>
          <w:tcPr>
            <w:tcW w:w="117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bottom"/>
          </w:tcPr>
          <w:p w14:paraId="6FD9A776" w14:textId="77777777" w:rsidR="00FC69A1" w:rsidRPr="00660A53" w:rsidRDefault="00FC69A1" w:rsidP="00FC69A1">
            <w:pPr>
              <w:jc w:val="right"/>
              <w:rPr>
                <w:sz w:val="22"/>
              </w:rPr>
            </w:pPr>
            <w:r>
              <w:rPr>
                <w:sz w:val="22"/>
              </w:rPr>
              <w:t>1,397</w:t>
            </w:r>
          </w:p>
        </w:tc>
        <w:tc>
          <w:tcPr>
            <w:tcW w:w="135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bottom"/>
          </w:tcPr>
          <w:p w14:paraId="0BFA46BE" w14:textId="77777777" w:rsidR="00FC69A1" w:rsidRPr="00660A53" w:rsidRDefault="00FC69A1" w:rsidP="00FC69A1">
            <w:pPr>
              <w:jc w:val="right"/>
              <w:rPr>
                <w:sz w:val="22"/>
              </w:rPr>
            </w:pPr>
            <w:r>
              <w:rPr>
                <w:sz w:val="22"/>
              </w:rPr>
              <w:t>$91,214</w:t>
            </w: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bottom"/>
          </w:tcPr>
          <w:p w14:paraId="1B7897A8" w14:textId="77777777" w:rsidR="00FC69A1" w:rsidRPr="00660A53" w:rsidRDefault="00FC69A1" w:rsidP="00FC69A1">
            <w:pPr>
              <w:jc w:val="right"/>
              <w:rPr>
                <w:sz w:val="22"/>
              </w:rPr>
            </w:pPr>
            <w:r>
              <w:rPr>
                <w:sz w:val="22"/>
              </w:rPr>
              <w:t>1,020</w:t>
            </w:r>
          </w:p>
        </w:tc>
        <w:tc>
          <w:tcPr>
            <w:tcW w:w="1350" w:type="dxa"/>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C5EB715" w14:textId="77777777" w:rsidR="00FC69A1" w:rsidRPr="00660A53" w:rsidRDefault="00FC69A1" w:rsidP="00FC69A1">
            <w:pPr>
              <w:jc w:val="right"/>
              <w:rPr>
                <w:sz w:val="22"/>
              </w:rPr>
            </w:pPr>
            <w:r>
              <w:rPr>
                <w:sz w:val="22"/>
              </w:rPr>
              <w:t>$17,000</w:t>
            </w:r>
          </w:p>
        </w:tc>
      </w:tr>
      <w:tr w:rsidR="00FC69A1" w:rsidRPr="00660A53" w14:paraId="2C9AF8F1" w14:textId="77777777" w:rsidTr="00FC69A1">
        <w:trPr>
          <w:cantSplit/>
          <w:trHeight w:val="246"/>
        </w:trPr>
        <w:tc>
          <w:tcPr>
            <w:tcW w:w="1018" w:type="dxa"/>
            <w:tcBorders>
              <w:top w:val="single" w:sz="6" w:space="0" w:color="000000"/>
              <w:left w:val="single" w:sz="4" w:space="0" w:color="000000"/>
              <w:bottom w:val="single" w:sz="4" w:space="0" w:color="000000"/>
              <w:right w:val="single" w:sz="6" w:space="0" w:color="000000"/>
            </w:tcBorders>
            <w:shd w:val="clear" w:color="auto" w:fill="auto"/>
            <w:vAlign w:val="bottom"/>
          </w:tcPr>
          <w:p w14:paraId="72685878" w14:textId="77777777" w:rsidR="00FC69A1" w:rsidRDefault="00FC69A1" w:rsidP="00FC69A1">
            <w:pPr>
              <w:rPr>
                <w:sz w:val="22"/>
              </w:rPr>
            </w:pPr>
          </w:p>
          <w:p w14:paraId="2816D90C" w14:textId="77777777" w:rsidR="00FC69A1" w:rsidRDefault="00FC69A1" w:rsidP="00FC69A1">
            <w:pPr>
              <w:rPr>
                <w:sz w:val="22"/>
              </w:rPr>
            </w:pPr>
            <w:r>
              <w:rPr>
                <w:sz w:val="22"/>
              </w:rPr>
              <w:t>FY 2010</w:t>
            </w:r>
          </w:p>
        </w:tc>
        <w:tc>
          <w:tcPr>
            <w:tcW w:w="1260" w:type="dxa"/>
            <w:tcBorders>
              <w:top w:val="single" w:sz="6" w:space="0" w:color="000000"/>
              <w:left w:val="single" w:sz="6" w:space="0" w:color="000000"/>
              <w:bottom w:val="single" w:sz="4" w:space="0" w:color="000000"/>
              <w:right w:val="single" w:sz="6" w:space="0" w:color="000000"/>
            </w:tcBorders>
            <w:shd w:val="clear" w:color="auto" w:fill="auto"/>
            <w:vAlign w:val="bottom"/>
          </w:tcPr>
          <w:p w14:paraId="0F91791B" w14:textId="77777777" w:rsidR="00FC69A1" w:rsidRDefault="00FC69A1" w:rsidP="00FC69A1">
            <w:pPr>
              <w:jc w:val="right"/>
              <w:rPr>
                <w:sz w:val="22"/>
              </w:rPr>
            </w:pPr>
            <w:r>
              <w:rPr>
                <w:sz w:val="22"/>
              </w:rPr>
              <w:t>83,665</w:t>
            </w:r>
          </w:p>
        </w:tc>
        <w:tc>
          <w:tcPr>
            <w:tcW w:w="1350" w:type="dxa"/>
            <w:tcBorders>
              <w:top w:val="single" w:sz="6" w:space="0" w:color="000000"/>
              <w:left w:val="single" w:sz="6" w:space="0" w:color="000000"/>
              <w:bottom w:val="single" w:sz="4" w:space="0" w:color="000000"/>
              <w:right w:val="single" w:sz="6" w:space="0" w:color="000000"/>
            </w:tcBorders>
            <w:shd w:val="clear" w:color="auto" w:fill="auto"/>
            <w:vAlign w:val="bottom"/>
          </w:tcPr>
          <w:p w14:paraId="5ADFA8D2" w14:textId="77777777" w:rsidR="00FC69A1" w:rsidRDefault="00FC69A1" w:rsidP="00FC69A1">
            <w:pPr>
              <w:jc w:val="right"/>
              <w:rPr>
                <w:sz w:val="22"/>
              </w:rPr>
            </w:pPr>
            <w:r>
              <w:rPr>
                <w:sz w:val="22"/>
              </w:rPr>
              <w:t>220,721</w:t>
            </w:r>
          </w:p>
        </w:tc>
        <w:tc>
          <w:tcPr>
            <w:tcW w:w="1260" w:type="dxa"/>
            <w:tcBorders>
              <w:top w:val="single" w:sz="6" w:space="0" w:color="000000"/>
              <w:left w:val="single" w:sz="6" w:space="0" w:color="000000"/>
              <w:bottom w:val="single" w:sz="4" w:space="0" w:color="000000"/>
              <w:right w:val="single" w:sz="6" w:space="0" w:color="000000"/>
            </w:tcBorders>
            <w:vAlign w:val="bottom"/>
          </w:tcPr>
          <w:p w14:paraId="515C59FA" w14:textId="77777777" w:rsidR="00FC69A1" w:rsidRDefault="00FC69A1" w:rsidP="00FC69A1">
            <w:pPr>
              <w:jc w:val="right"/>
              <w:rPr>
                <w:sz w:val="22"/>
              </w:rPr>
            </w:pPr>
            <w:r>
              <w:rPr>
                <w:sz w:val="22"/>
              </w:rPr>
              <w:t>10,230</w:t>
            </w:r>
          </w:p>
        </w:tc>
        <w:tc>
          <w:tcPr>
            <w:tcW w:w="1440" w:type="dxa"/>
            <w:tcBorders>
              <w:top w:val="single" w:sz="6" w:space="0" w:color="000000"/>
              <w:left w:val="single" w:sz="6" w:space="0" w:color="000000"/>
              <w:bottom w:val="single" w:sz="4" w:space="0" w:color="000000"/>
              <w:right w:val="single" w:sz="6" w:space="0" w:color="000000"/>
            </w:tcBorders>
            <w:shd w:val="clear" w:color="auto" w:fill="auto"/>
            <w:vAlign w:val="bottom"/>
          </w:tcPr>
          <w:p w14:paraId="5EF4B5EB" w14:textId="77777777" w:rsidR="00FC69A1" w:rsidRDefault="00FC69A1" w:rsidP="00FC69A1">
            <w:pPr>
              <w:jc w:val="right"/>
              <w:rPr>
                <w:sz w:val="22"/>
              </w:rPr>
            </w:pPr>
            <w:r>
              <w:rPr>
                <w:sz w:val="22"/>
              </w:rPr>
              <w:t>7,140</w:t>
            </w:r>
          </w:p>
        </w:tc>
        <w:tc>
          <w:tcPr>
            <w:tcW w:w="117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bottom"/>
          </w:tcPr>
          <w:p w14:paraId="6CF3DA00" w14:textId="77777777" w:rsidR="00FC69A1" w:rsidRDefault="00FC69A1" w:rsidP="00FC69A1">
            <w:pPr>
              <w:jc w:val="right"/>
              <w:rPr>
                <w:sz w:val="22"/>
              </w:rPr>
            </w:pPr>
            <w:r>
              <w:rPr>
                <w:sz w:val="22"/>
              </w:rPr>
              <w:t>3,153</w:t>
            </w:r>
          </w:p>
        </w:tc>
        <w:tc>
          <w:tcPr>
            <w:tcW w:w="135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bottom"/>
          </w:tcPr>
          <w:p w14:paraId="61FF25D6" w14:textId="77777777" w:rsidR="00FC69A1" w:rsidRDefault="00FC69A1" w:rsidP="00FC69A1">
            <w:pPr>
              <w:jc w:val="right"/>
              <w:rPr>
                <w:sz w:val="22"/>
              </w:rPr>
            </w:pPr>
            <w:r>
              <w:rPr>
                <w:sz w:val="22"/>
              </w:rPr>
              <w:t>$341,069</w:t>
            </w: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bottom"/>
          </w:tcPr>
          <w:p w14:paraId="145B7C0E" w14:textId="77777777" w:rsidR="00FC69A1" w:rsidRDefault="00FC69A1" w:rsidP="00FC69A1">
            <w:pPr>
              <w:jc w:val="right"/>
              <w:rPr>
                <w:sz w:val="22"/>
              </w:rPr>
            </w:pPr>
            <w:r>
              <w:rPr>
                <w:sz w:val="22"/>
              </w:rPr>
              <w:t>2,189</w:t>
            </w:r>
          </w:p>
        </w:tc>
        <w:tc>
          <w:tcPr>
            <w:tcW w:w="1350" w:type="dxa"/>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4B2DB7D" w14:textId="77777777" w:rsidR="00FC69A1" w:rsidRDefault="00FC69A1" w:rsidP="00FC69A1">
            <w:pPr>
              <w:jc w:val="right"/>
              <w:rPr>
                <w:sz w:val="22"/>
              </w:rPr>
            </w:pPr>
            <w:r>
              <w:rPr>
                <w:sz w:val="22"/>
              </w:rPr>
              <w:t>$47,295</w:t>
            </w:r>
          </w:p>
        </w:tc>
      </w:tr>
      <w:tr w:rsidR="00FC69A1" w:rsidRPr="00660A53" w14:paraId="2FBEF38A" w14:textId="77777777" w:rsidTr="00FC69A1">
        <w:trPr>
          <w:cantSplit/>
          <w:trHeight w:val="216"/>
        </w:trPr>
        <w:tc>
          <w:tcPr>
            <w:tcW w:w="1018" w:type="dxa"/>
            <w:tcBorders>
              <w:top w:val="single" w:sz="4" w:space="0" w:color="000000"/>
              <w:left w:val="none" w:sz="16" w:space="0" w:color="000000"/>
              <w:bottom w:val="none" w:sz="16" w:space="0" w:color="000000"/>
              <w:right w:val="none" w:sz="16" w:space="0" w:color="000000"/>
            </w:tcBorders>
            <w:shd w:val="clear" w:color="auto" w:fill="auto"/>
            <w:vAlign w:val="bottom"/>
          </w:tcPr>
          <w:p w14:paraId="504D07AC" w14:textId="77777777" w:rsidR="00FC69A1" w:rsidRPr="00660A53" w:rsidRDefault="00FC69A1" w:rsidP="00FC69A1">
            <w:pPr>
              <w:rPr>
                <w:sz w:val="22"/>
              </w:rPr>
            </w:pPr>
          </w:p>
        </w:tc>
        <w:tc>
          <w:tcPr>
            <w:tcW w:w="1260" w:type="dxa"/>
            <w:tcBorders>
              <w:top w:val="single" w:sz="4" w:space="0" w:color="000000"/>
              <w:left w:val="none" w:sz="16" w:space="0" w:color="000000"/>
              <w:bottom w:val="none" w:sz="16" w:space="0" w:color="000000"/>
              <w:right w:val="none" w:sz="16" w:space="0" w:color="000000"/>
            </w:tcBorders>
            <w:shd w:val="clear" w:color="auto" w:fill="auto"/>
            <w:vAlign w:val="bottom"/>
          </w:tcPr>
          <w:p w14:paraId="362C2E52" w14:textId="77777777" w:rsidR="00FC69A1" w:rsidRPr="00660A53" w:rsidRDefault="00FC69A1" w:rsidP="00FC69A1">
            <w:pPr>
              <w:rPr>
                <w:sz w:val="22"/>
              </w:rPr>
            </w:pPr>
          </w:p>
        </w:tc>
        <w:tc>
          <w:tcPr>
            <w:tcW w:w="1350" w:type="dxa"/>
            <w:tcBorders>
              <w:top w:val="single" w:sz="4" w:space="0" w:color="000000"/>
              <w:left w:val="none" w:sz="16" w:space="0" w:color="000000"/>
              <w:bottom w:val="none" w:sz="16" w:space="0" w:color="000000"/>
              <w:right w:val="none" w:sz="16" w:space="0" w:color="000000"/>
            </w:tcBorders>
            <w:shd w:val="clear" w:color="auto" w:fill="auto"/>
            <w:vAlign w:val="bottom"/>
          </w:tcPr>
          <w:p w14:paraId="57F9DBA6" w14:textId="77777777" w:rsidR="00FC69A1" w:rsidRPr="00660A53" w:rsidRDefault="00FC69A1" w:rsidP="00FC69A1">
            <w:pPr>
              <w:rPr>
                <w:sz w:val="22"/>
              </w:rPr>
            </w:pPr>
          </w:p>
        </w:tc>
        <w:tc>
          <w:tcPr>
            <w:tcW w:w="1260" w:type="dxa"/>
            <w:tcBorders>
              <w:top w:val="single" w:sz="4" w:space="0" w:color="000000"/>
              <w:left w:val="none" w:sz="16" w:space="0" w:color="000000"/>
              <w:bottom w:val="none" w:sz="16" w:space="0" w:color="000000"/>
              <w:right w:val="none" w:sz="16" w:space="0" w:color="000000"/>
            </w:tcBorders>
          </w:tcPr>
          <w:p w14:paraId="276C63AC" w14:textId="77777777" w:rsidR="00FC69A1" w:rsidRPr="00660A53" w:rsidRDefault="00FC69A1" w:rsidP="00FC69A1">
            <w:pPr>
              <w:rPr>
                <w:sz w:val="22"/>
              </w:rPr>
            </w:pPr>
          </w:p>
        </w:tc>
        <w:tc>
          <w:tcPr>
            <w:tcW w:w="1440" w:type="dxa"/>
            <w:tcBorders>
              <w:top w:val="single" w:sz="4" w:space="0" w:color="000000"/>
              <w:left w:val="none" w:sz="16" w:space="0" w:color="000000"/>
              <w:bottom w:val="none" w:sz="16" w:space="0" w:color="000000"/>
              <w:right w:val="none" w:sz="16" w:space="0" w:color="000000"/>
            </w:tcBorders>
            <w:shd w:val="clear" w:color="auto" w:fill="auto"/>
            <w:vAlign w:val="bottom"/>
          </w:tcPr>
          <w:p w14:paraId="04387456" w14:textId="77777777" w:rsidR="00FC69A1" w:rsidRPr="00660A53" w:rsidRDefault="00FC69A1" w:rsidP="00FC69A1">
            <w:pPr>
              <w:rPr>
                <w:sz w:val="22"/>
              </w:rPr>
            </w:pPr>
          </w:p>
        </w:tc>
        <w:tc>
          <w:tcPr>
            <w:tcW w:w="117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04D3B939" w14:textId="77777777" w:rsidR="00FC69A1" w:rsidRPr="00660A53" w:rsidRDefault="00FC69A1" w:rsidP="00FC69A1">
            <w:pPr>
              <w:rPr>
                <w:sz w:val="22"/>
              </w:rPr>
            </w:pPr>
          </w:p>
        </w:tc>
        <w:tc>
          <w:tcPr>
            <w:tcW w:w="135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4975791A" w14:textId="77777777" w:rsidR="00FC69A1" w:rsidRPr="00660A53" w:rsidRDefault="00FC69A1" w:rsidP="00FC69A1">
            <w:pPr>
              <w:rPr>
                <w:sz w:val="22"/>
              </w:rPr>
            </w:pPr>
          </w:p>
        </w:tc>
        <w:tc>
          <w:tcPr>
            <w:tcW w:w="99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AB3B988" w14:textId="77777777" w:rsidR="00FC69A1" w:rsidRPr="00660A53" w:rsidRDefault="00FC69A1" w:rsidP="00FC69A1">
            <w:pPr>
              <w:rPr>
                <w:sz w:val="22"/>
              </w:rPr>
            </w:pPr>
          </w:p>
        </w:tc>
        <w:tc>
          <w:tcPr>
            <w:tcW w:w="135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BE15D24" w14:textId="77777777" w:rsidR="00FC69A1" w:rsidRPr="00660A53" w:rsidRDefault="00FC69A1" w:rsidP="00FC69A1">
            <w:pPr>
              <w:rPr>
                <w:sz w:val="22"/>
              </w:rPr>
            </w:pPr>
          </w:p>
        </w:tc>
      </w:tr>
    </w:tbl>
    <w:p w14:paraId="44D8B8C4" w14:textId="77777777" w:rsidR="00FC69A1" w:rsidRDefault="00FC69A1" w:rsidP="00A03605">
      <w:pPr>
        <w:sectPr w:rsidR="00FC69A1" w:rsidSect="002B6E78">
          <w:pgSz w:w="12240" w:h="15840"/>
          <w:pgMar w:top="864" w:right="864" w:bottom="1152" w:left="1152" w:header="720" w:footer="720" w:gutter="0"/>
          <w:cols w:space="720"/>
          <w:docGrid w:linePitch="360"/>
        </w:sectPr>
      </w:pPr>
    </w:p>
    <w:p w14:paraId="1B7BB6D4" w14:textId="77777777" w:rsidR="00C70CFE" w:rsidRDefault="00C70CFE" w:rsidP="00A03605"/>
    <w:p w14:paraId="27FA69E9" w14:textId="77777777" w:rsidR="009F7B05" w:rsidRDefault="009F7B05" w:rsidP="00A03605"/>
    <w:p w14:paraId="623F468D" w14:textId="04EF3553" w:rsidR="002B6E78" w:rsidRPr="00660A53" w:rsidRDefault="002B6E78" w:rsidP="009C4F5C">
      <w:pPr>
        <w:framePr w:hSpace="180" w:wrap="around" w:vAnchor="text" w:hAnchor="page" w:x="2016" w:y="268"/>
        <w:tabs>
          <w:tab w:val="left" w:pos="5400"/>
          <w:tab w:val="left" w:pos="6484"/>
          <w:tab w:val="left" w:pos="7583"/>
          <w:tab w:val="left" w:pos="8466"/>
          <w:tab w:val="left" w:pos="9862"/>
        </w:tabs>
        <w:ind w:left="-208"/>
        <w:suppressOverlap/>
        <w:rPr>
          <w:sz w:val="22"/>
        </w:rPr>
      </w:pPr>
      <w:r w:rsidRPr="002B6E78">
        <w:rPr>
          <w:b/>
        </w:rPr>
        <w:t>Table 2: Comparative data among Oregon public libraries ser</w:t>
      </w:r>
      <w:r w:rsidR="00FC69A1">
        <w:rPr>
          <w:b/>
        </w:rPr>
        <w:t>ving populations grater than 85,</w:t>
      </w:r>
      <w:r w:rsidRPr="002B6E78">
        <w:rPr>
          <w:b/>
        </w:rPr>
        <w:t>000</w:t>
      </w:r>
    </w:p>
    <w:tbl>
      <w:tblPr>
        <w:tblW w:w="0" w:type="auto"/>
        <w:tblInd w:w="594" w:type="dxa"/>
        <w:tblLayout w:type="fixed"/>
        <w:tblCellMar>
          <w:left w:w="54" w:type="dxa"/>
          <w:right w:w="54" w:type="dxa"/>
        </w:tblCellMar>
        <w:tblLook w:val="0000" w:firstRow="0" w:lastRow="0" w:firstColumn="0" w:lastColumn="0" w:noHBand="0" w:noVBand="0"/>
      </w:tblPr>
      <w:tblGrid>
        <w:gridCol w:w="3690"/>
        <w:gridCol w:w="1260"/>
        <w:gridCol w:w="1260"/>
        <w:gridCol w:w="1080"/>
        <w:gridCol w:w="1260"/>
        <w:gridCol w:w="1260"/>
        <w:gridCol w:w="1800"/>
        <w:gridCol w:w="1080"/>
      </w:tblGrid>
      <w:tr w:rsidR="009F7B05" w14:paraId="2EA4E8D3" w14:textId="77777777" w:rsidTr="009F7B05">
        <w:trPr>
          <w:trHeight w:val="948"/>
        </w:trPr>
        <w:tc>
          <w:tcPr>
            <w:tcW w:w="3690" w:type="dxa"/>
            <w:tcBorders>
              <w:top w:val="single" w:sz="6" w:space="0" w:color="auto"/>
              <w:left w:val="single" w:sz="6" w:space="0" w:color="auto"/>
              <w:bottom w:val="single" w:sz="6" w:space="0" w:color="auto"/>
              <w:right w:val="single" w:sz="6" w:space="0" w:color="auto"/>
            </w:tcBorders>
          </w:tcPr>
          <w:p w14:paraId="079F3DE8" w14:textId="29598A68" w:rsidR="00C159E8" w:rsidRPr="009F7B05" w:rsidRDefault="00C159E8">
            <w:pPr>
              <w:widowControl w:val="0"/>
              <w:autoSpaceDE w:val="0"/>
              <w:autoSpaceDN w:val="0"/>
              <w:adjustRightInd w:val="0"/>
              <w:jc w:val="right"/>
              <w:rPr>
                <w:b/>
                <w:bCs/>
              </w:rPr>
            </w:pPr>
          </w:p>
        </w:tc>
        <w:tc>
          <w:tcPr>
            <w:tcW w:w="1260" w:type="dxa"/>
            <w:tcBorders>
              <w:top w:val="single" w:sz="6" w:space="0" w:color="auto"/>
              <w:left w:val="single" w:sz="6" w:space="0" w:color="auto"/>
              <w:bottom w:val="single" w:sz="6" w:space="0" w:color="auto"/>
              <w:right w:val="single" w:sz="6" w:space="0" w:color="auto"/>
            </w:tcBorders>
          </w:tcPr>
          <w:p w14:paraId="03169FC9" w14:textId="77777777" w:rsidR="00C159E8" w:rsidRPr="009F7B05" w:rsidRDefault="00C159E8">
            <w:pPr>
              <w:widowControl w:val="0"/>
              <w:autoSpaceDE w:val="0"/>
              <w:autoSpaceDN w:val="0"/>
              <w:adjustRightInd w:val="0"/>
              <w:jc w:val="right"/>
              <w:rPr>
                <w:b/>
                <w:bCs/>
              </w:rPr>
            </w:pPr>
            <w:r w:rsidRPr="009F7B05">
              <w:rPr>
                <w:b/>
                <w:bCs/>
              </w:rPr>
              <w:t>Population served</w:t>
            </w:r>
          </w:p>
        </w:tc>
        <w:tc>
          <w:tcPr>
            <w:tcW w:w="1260" w:type="dxa"/>
            <w:tcBorders>
              <w:top w:val="single" w:sz="6" w:space="0" w:color="auto"/>
              <w:left w:val="single" w:sz="6" w:space="0" w:color="auto"/>
              <w:bottom w:val="single" w:sz="6" w:space="0" w:color="auto"/>
              <w:right w:val="single" w:sz="6" w:space="0" w:color="auto"/>
            </w:tcBorders>
          </w:tcPr>
          <w:p w14:paraId="15FCA5D5" w14:textId="77777777" w:rsidR="00C159E8" w:rsidRPr="009F7B05" w:rsidRDefault="00C159E8">
            <w:pPr>
              <w:widowControl w:val="0"/>
              <w:autoSpaceDE w:val="0"/>
              <w:autoSpaceDN w:val="0"/>
              <w:adjustRightInd w:val="0"/>
              <w:jc w:val="right"/>
              <w:rPr>
                <w:b/>
                <w:bCs/>
              </w:rPr>
            </w:pPr>
            <w:r w:rsidRPr="009F7B05">
              <w:rPr>
                <w:b/>
                <w:bCs/>
              </w:rPr>
              <w:t>Total circulation</w:t>
            </w:r>
          </w:p>
        </w:tc>
        <w:tc>
          <w:tcPr>
            <w:tcW w:w="1080" w:type="dxa"/>
            <w:tcBorders>
              <w:top w:val="single" w:sz="6" w:space="0" w:color="auto"/>
              <w:left w:val="single" w:sz="6" w:space="0" w:color="auto"/>
              <w:bottom w:val="single" w:sz="6" w:space="0" w:color="auto"/>
              <w:right w:val="single" w:sz="6" w:space="0" w:color="auto"/>
            </w:tcBorders>
          </w:tcPr>
          <w:p w14:paraId="18729E9F" w14:textId="77777777" w:rsidR="00C159E8" w:rsidRPr="009F7B05" w:rsidRDefault="00C159E8">
            <w:pPr>
              <w:widowControl w:val="0"/>
              <w:autoSpaceDE w:val="0"/>
              <w:autoSpaceDN w:val="0"/>
              <w:adjustRightInd w:val="0"/>
              <w:jc w:val="right"/>
              <w:rPr>
                <w:b/>
                <w:bCs/>
              </w:rPr>
            </w:pPr>
            <w:r w:rsidRPr="009F7B05">
              <w:rPr>
                <w:b/>
                <w:bCs/>
              </w:rPr>
              <w:t>Total reference questions</w:t>
            </w:r>
          </w:p>
        </w:tc>
        <w:tc>
          <w:tcPr>
            <w:tcW w:w="1260" w:type="dxa"/>
            <w:tcBorders>
              <w:top w:val="single" w:sz="6" w:space="0" w:color="auto"/>
              <w:left w:val="single" w:sz="6" w:space="0" w:color="auto"/>
              <w:bottom w:val="single" w:sz="6" w:space="0" w:color="auto"/>
              <w:right w:val="single" w:sz="6" w:space="0" w:color="auto"/>
            </w:tcBorders>
          </w:tcPr>
          <w:p w14:paraId="003BF3C3" w14:textId="77777777" w:rsidR="00C159E8" w:rsidRPr="009F7B05" w:rsidRDefault="00C159E8">
            <w:pPr>
              <w:widowControl w:val="0"/>
              <w:autoSpaceDE w:val="0"/>
              <w:autoSpaceDN w:val="0"/>
              <w:adjustRightInd w:val="0"/>
              <w:jc w:val="right"/>
              <w:rPr>
                <w:b/>
                <w:bCs/>
              </w:rPr>
            </w:pPr>
            <w:r w:rsidRPr="009F7B05">
              <w:rPr>
                <w:b/>
                <w:bCs/>
              </w:rPr>
              <w:t xml:space="preserve">Total program attendance </w:t>
            </w:r>
          </w:p>
        </w:tc>
        <w:tc>
          <w:tcPr>
            <w:tcW w:w="1260" w:type="dxa"/>
            <w:tcBorders>
              <w:top w:val="single" w:sz="6" w:space="0" w:color="auto"/>
              <w:left w:val="single" w:sz="6" w:space="0" w:color="auto"/>
              <w:bottom w:val="single" w:sz="6" w:space="0" w:color="auto"/>
              <w:right w:val="single" w:sz="6" w:space="0" w:color="auto"/>
            </w:tcBorders>
          </w:tcPr>
          <w:p w14:paraId="17032395" w14:textId="77777777" w:rsidR="00C159E8" w:rsidRPr="009F7B05" w:rsidRDefault="00C159E8">
            <w:pPr>
              <w:widowControl w:val="0"/>
              <w:autoSpaceDE w:val="0"/>
              <w:autoSpaceDN w:val="0"/>
              <w:adjustRightInd w:val="0"/>
              <w:jc w:val="right"/>
              <w:rPr>
                <w:b/>
                <w:bCs/>
              </w:rPr>
            </w:pPr>
            <w:r w:rsidRPr="009F7B05">
              <w:rPr>
                <w:b/>
                <w:bCs/>
              </w:rPr>
              <w:t>Total Service Units</w:t>
            </w:r>
          </w:p>
        </w:tc>
        <w:tc>
          <w:tcPr>
            <w:tcW w:w="1800" w:type="dxa"/>
            <w:tcBorders>
              <w:top w:val="single" w:sz="6" w:space="0" w:color="auto"/>
              <w:left w:val="single" w:sz="6" w:space="0" w:color="auto"/>
              <w:bottom w:val="single" w:sz="6" w:space="0" w:color="auto"/>
              <w:right w:val="single" w:sz="6" w:space="0" w:color="auto"/>
            </w:tcBorders>
          </w:tcPr>
          <w:p w14:paraId="6E78D741" w14:textId="77777777" w:rsidR="00C159E8" w:rsidRPr="009F7B05" w:rsidRDefault="00C159E8">
            <w:pPr>
              <w:widowControl w:val="0"/>
              <w:autoSpaceDE w:val="0"/>
              <w:autoSpaceDN w:val="0"/>
              <w:adjustRightInd w:val="0"/>
              <w:jc w:val="right"/>
              <w:rPr>
                <w:b/>
                <w:bCs/>
              </w:rPr>
            </w:pPr>
            <w:r w:rsidRPr="009F7B05">
              <w:rPr>
                <w:b/>
                <w:bCs/>
              </w:rPr>
              <w:t>Total Operating Expenditures</w:t>
            </w:r>
          </w:p>
        </w:tc>
        <w:tc>
          <w:tcPr>
            <w:tcW w:w="1080" w:type="dxa"/>
            <w:tcBorders>
              <w:top w:val="single" w:sz="6" w:space="0" w:color="auto"/>
              <w:left w:val="single" w:sz="6" w:space="0" w:color="auto"/>
              <w:bottom w:val="single" w:sz="6" w:space="0" w:color="auto"/>
              <w:right w:val="single" w:sz="6" w:space="0" w:color="auto"/>
            </w:tcBorders>
          </w:tcPr>
          <w:p w14:paraId="2CE6D5CD" w14:textId="19E03735" w:rsidR="00C159E8" w:rsidRPr="009F7B05" w:rsidRDefault="00C159E8">
            <w:pPr>
              <w:widowControl w:val="0"/>
              <w:autoSpaceDE w:val="0"/>
              <w:autoSpaceDN w:val="0"/>
              <w:adjustRightInd w:val="0"/>
              <w:jc w:val="right"/>
              <w:rPr>
                <w:b/>
                <w:bCs/>
              </w:rPr>
            </w:pPr>
            <w:r w:rsidRPr="009F7B05">
              <w:rPr>
                <w:b/>
                <w:bCs/>
              </w:rPr>
              <w:t>Cost Per Service Unit</w:t>
            </w:r>
          </w:p>
        </w:tc>
      </w:tr>
      <w:tr w:rsidR="009F7B05" w14:paraId="095CD042" w14:textId="77777777" w:rsidTr="009F7B05">
        <w:trPr>
          <w:trHeight w:val="240"/>
        </w:trPr>
        <w:tc>
          <w:tcPr>
            <w:tcW w:w="3690" w:type="dxa"/>
            <w:tcBorders>
              <w:top w:val="single" w:sz="6" w:space="0" w:color="auto"/>
              <w:left w:val="single" w:sz="6" w:space="0" w:color="auto"/>
              <w:bottom w:val="single" w:sz="6" w:space="0" w:color="auto"/>
              <w:right w:val="single" w:sz="6" w:space="0" w:color="auto"/>
            </w:tcBorders>
          </w:tcPr>
          <w:p w14:paraId="0784A7D8" w14:textId="77777777" w:rsidR="00C159E8" w:rsidRPr="009F7B05" w:rsidRDefault="00C159E8" w:rsidP="009F7B05">
            <w:pPr>
              <w:widowControl w:val="0"/>
              <w:autoSpaceDE w:val="0"/>
              <w:autoSpaceDN w:val="0"/>
              <w:adjustRightInd w:val="0"/>
            </w:pPr>
            <w:r w:rsidRPr="009F7B05">
              <w:t>Corvallis-Benton Co. Public Library</w:t>
            </w:r>
          </w:p>
        </w:tc>
        <w:tc>
          <w:tcPr>
            <w:tcW w:w="1260" w:type="dxa"/>
            <w:tcBorders>
              <w:top w:val="single" w:sz="6" w:space="0" w:color="auto"/>
              <w:left w:val="single" w:sz="6" w:space="0" w:color="auto"/>
              <w:bottom w:val="single" w:sz="6" w:space="0" w:color="auto"/>
              <w:right w:val="single" w:sz="6" w:space="0" w:color="auto"/>
            </w:tcBorders>
          </w:tcPr>
          <w:p w14:paraId="0727BDFF" w14:textId="77777777" w:rsidR="00C159E8" w:rsidRPr="009F7B05" w:rsidRDefault="00C159E8">
            <w:pPr>
              <w:widowControl w:val="0"/>
              <w:autoSpaceDE w:val="0"/>
              <w:autoSpaceDN w:val="0"/>
              <w:adjustRightInd w:val="0"/>
              <w:jc w:val="right"/>
            </w:pPr>
            <w:r w:rsidRPr="009F7B05">
              <w:t>86,725</w:t>
            </w:r>
          </w:p>
        </w:tc>
        <w:tc>
          <w:tcPr>
            <w:tcW w:w="1260" w:type="dxa"/>
            <w:tcBorders>
              <w:top w:val="single" w:sz="6" w:space="0" w:color="auto"/>
              <w:left w:val="single" w:sz="6" w:space="0" w:color="auto"/>
              <w:bottom w:val="single" w:sz="6" w:space="0" w:color="auto"/>
              <w:right w:val="single" w:sz="6" w:space="0" w:color="auto"/>
            </w:tcBorders>
          </w:tcPr>
          <w:p w14:paraId="1AB09FC7" w14:textId="77777777" w:rsidR="00C159E8" w:rsidRPr="009F7B05" w:rsidRDefault="00C159E8">
            <w:pPr>
              <w:widowControl w:val="0"/>
              <w:autoSpaceDE w:val="0"/>
              <w:autoSpaceDN w:val="0"/>
              <w:adjustRightInd w:val="0"/>
              <w:jc w:val="right"/>
            </w:pPr>
            <w:r w:rsidRPr="009F7B05">
              <w:t>1,674,356</w:t>
            </w:r>
          </w:p>
        </w:tc>
        <w:tc>
          <w:tcPr>
            <w:tcW w:w="1080" w:type="dxa"/>
            <w:tcBorders>
              <w:top w:val="single" w:sz="6" w:space="0" w:color="auto"/>
              <w:left w:val="single" w:sz="6" w:space="0" w:color="auto"/>
              <w:bottom w:val="single" w:sz="6" w:space="0" w:color="auto"/>
              <w:right w:val="single" w:sz="6" w:space="0" w:color="auto"/>
            </w:tcBorders>
          </w:tcPr>
          <w:p w14:paraId="04EE5B5B" w14:textId="77777777" w:rsidR="00C159E8" w:rsidRPr="009F7B05" w:rsidRDefault="00C159E8">
            <w:pPr>
              <w:widowControl w:val="0"/>
              <w:autoSpaceDE w:val="0"/>
              <w:autoSpaceDN w:val="0"/>
              <w:adjustRightInd w:val="0"/>
              <w:jc w:val="right"/>
            </w:pPr>
            <w:r w:rsidRPr="009F7B05">
              <w:t>239,863</w:t>
            </w:r>
          </w:p>
        </w:tc>
        <w:tc>
          <w:tcPr>
            <w:tcW w:w="1260" w:type="dxa"/>
            <w:tcBorders>
              <w:top w:val="single" w:sz="6" w:space="0" w:color="auto"/>
              <w:left w:val="single" w:sz="6" w:space="0" w:color="auto"/>
              <w:bottom w:val="single" w:sz="6" w:space="0" w:color="auto"/>
              <w:right w:val="single" w:sz="6" w:space="0" w:color="auto"/>
            </w:tcBorders>
          </w:tcPr>
          <w:p w14:paraId="47335F2A" w14:textId="77777777" w:rsidR="00C159E8" w:rsidRPr="009F7B05" w:rsidRDefault="00C159E8">
            <w:pPr>
              <w:widowControl w:val="0"/>
              <w:autoSpaceDE w:val="0"/>
              <w:autoSpaceDN w:val="0"/>
              <w:adjustRightInd w:val="0"/>
              <w:jc w:val="right"/>
            </w:pPr>
            <w:r w:rsidRPr="009F7B05">
              <w:t>36,314</w:t>
            </w:r>
          </w:p>
        </w:tc>
        <w:tc>
          <w:tcPr>
            <w:tcW w:w="1260" w:type="dxa"/>
            <w:tcBorders>
              <w:top w:val="single" w:sz="6" w:space="0" w:color="auto"/>
              <w:left w:val="single" w:sz="6" w:space="0" w:color="auto"/>
              <w:bottom w:val="single" w:sz="6" w:space="0" w:color="auto"/>
              <w:right w:val="single" w:sz="6" w:space="0" w:color="auto"/>
            </w:tcBorders>
          </w:tcPr>
          <w:p w14:paraId="18D6B570" w14:textId="77777777" w:rsidR="00C159E8" w:rsidRPr="009F7B05" w:rsidRDefault="00C159E8">
            <w:pPr>
              <w:widowControl w:val="0"/>
              <w:autoSpaceDE w:val="0"/>
              <w:autoSpaceDN w:val="0"/>
              <w:adjustRightInd w:val="0"/>
              <w:jc w:val="right"/>
            </w:pPr>
            <w:r w:rsidRPr="009F7B05">
              <w:t>1,950,533</w:t>
            </w:r>
          </w:p>
        </w:tc>
        <w:tc>
          <w:tcPr>
            <w:tcW w:w="1800" w:type="dxa"/>
            <w:tcBorders>
              <w:top w:val="single" w:sz="6" w:space="0" w:color="auto"/>
              <w:left w:val="single" w:sz="6" w:space="0" w:color="auto"/>
              <w:bottom w:val="single" w:sz="6" w:space="0" w:color="auto"/>
              <w:right w:val="single" w:sz="6" w:space="0" w:color="auto"/>
            </w:tcBorders>
          </w:tcPr>
          <w:p w14:paraId="7FFB41BB" w14:textId="77777777" w:rsidR="00C159E8" w:rsidRPr="009F7B05" w:rsidRDefault="00C159E8">
            <w:pPr>
              <w:widowControl w:val="0"/>
              <w:autoSpaceDE w:val="0"/>
              <w:autoSpaceDN w:val="0"/>
              <w:adjustRightInd w:val="0"/>
              <w:jc w:val="right"/>
            </w:pPr>
            <w:r w:rsidRPr="009F7B05">
              <w:t>$6,362,268</w:t>
            </w:r>
          </w:p>
        </w:tc>
        <w:tc>
          <w:tcPr>
            <w:tcW w:w="1080" w:type="dxa"/>
            <w:tcBorders>
              <w:top w:val="single" w:sz="6" w:space="0" w:color="auto"/>
              <w:left w:val="single" w:sz="6" w:space="0" w:color="auto"/>
              <w:bottom w:val="single" w:sz="6" w:space="0" w:color="auto"/>
              <w:right w:val="single" w:sz="6" w:space="0" w:color="auto"/>
            </w:tcBorders>
          </w:tcPr>
          <w:p w14:paraId="65159E0A" w14:textId="77777777" w:rsidR="00C159E8" w:rsidRPr="009F7B05" w:rsidRDefault="00C159E8">
            <w:pPr>
              <w:widowControl w:val="0"/>
              <w:autoSpaceDE w:val="0"/>
              <w:autoSpaceDN w:val="0"/>
              <w:adjustRightInd w:val="0"/>
              <w:jc w:val="right"/>
            </w:pPr>
            <w:r w:rsidRPr="009F7B05">
              <w:t>$3.26</w:t>
            </w:r>
          </w:p>
        </w:tc>
      </w:tr>
      <w:tr w:rsidR="009F7B05" w14:paraId="785D953F" w14:textId="77777777" w:rsidTr="009F7B05">
        <w:trPr>
          <w:trHeight w:val="240"/>
        </w:trPr>
        <w:tc>
          <w:tcPr>
            <w:tcW w:w="3690" w:type="dxa"/>
            <w:tcBorders>
              <w:top w:val="single" w:sz="6" w:space="0" w:color="auto"/>
              <w:left w:val="single" w:sz="6" w:space="0" w:color="auto"/>
              <w:bottom w:val="single" w:sz="6" w:space="0" w:color="auto"/>
              <w:right w:val="single" w:sz="6" w:space="0" w:color="auto"/>
            </w:tcBorders>
          </w:tcPr>
          <w:p w14:paraId="48AE39A9" w14:textId="77777777" w:rsidR="00C159E8" w:rsidRPr="009F7B05" w:rsidRDefault="00C159E8" w:rsidP="009F7B05">
            <w:pPr>
              <w:widowControl w:val="0"/>
              <w:autoSpaceDE w:val="0"/>
              <w:autoSpaceDN w:val="0"/>
              <w:adjustRightInd w:val="0"/>
            </w:pPr>
            <w:r w:rsidRPr="009F7B05">
              <w:t>Douglas County Library System</w:t>
            </w:r>
          </w:p>
        </w:tc>
        <w:tc>
          <w:tcPr>
            <w:tcW w:w="1260" w:type="dxa"/>
            <w:tcBorders>
              <w:top w:val="single" w:sz="6" w:space="0" w:color="auto"/>
              <w:left w:val="single" w:sz="6" w:space="0" w:color="auto"/>
              <w:bottom w:val="single" w:sz="6" w:space="0" w:color="auto"/>
              <w:right w:val="single" w:sz="6" w:space="0" w:color="auto"/>
            </w:tcBorders>
          </w:tcPr>
          <w:p w14:paraId="5EE6DF62" w14:textId="77777777" w:rsidR="00C159E8" w:rsidRPr="009F7B05" w:rsidRDefault="00C159E8">
            <w:pPr>
              <w:widowControl w:val="0"/>
              <w:autoSpaceDE w:val="0"/>
              <w:autoSpaceDN w:val="0"/>
              <w:adjustRightInd w:val="0"/>
              <w:jc w:val="right"/>
            </w:pPr>
            <w:r w:rsidRPr="009F7B05">
              <w:t>105,395</w:t>
            </w:r>
          </w:p>
        </w:tc>
        <w:tc>
          <w:tcPr>
            <w:tcW w:w="1260" w:type="dxa"/>
            <w:tcBorders>
              <w:top w:val="single" w:sz="6" w:space="0" w:color="auto"/>
              <w:left w:val="single" w:sz="6" w:space="0" w:color="auto"/>
              <w:bottom w:val="single" w:sz="6" w:space="0" w:color="auto"/>
              <w:right w:val="single" w:sz="6" w:space="0" w:color="auto"/>
            </w:tcBorders>
          </w:tcPr>
          <w:p w14:paraId="5A14AE62" w14:textId="77777777" w:rsidR="00C159E8" w:rsidRPr="009F7B05" w:rsidRDefault="00C159E8">
            <w:pPr>
              <w:widowControl w:val="0"/>
              <w:autoSpaceDE w:val="0"/>
              <w:autoSpaceDN w:val="0"/>
              <w:adjustRightInd w:val="0"/>
              <w:jc w:val="right"/>
            </w:pPr>
            <w:r w:rsidRPr="009F7B05">
              <w:t>689,753</w:t>
            </w:r>
          </w:p>
        </w:tc>
        <w:tc>
          <w:tcPr>
            <w:tcW w:w="1080" w:type="dxa"/>
            <w:tcBorders>
              <w:top w:val="single" w:sz="6" w:space="0" w:color="auto"/>
              <w:left w:val="single" w:sz="6" w:space="0" w:color="auto"/>
              <w:bottom w:val="single" w:sz="6" w:space="0" w:color="auto"/>
              <w:right w:val="single" w:sz="6" w:space="0" w:color="auto"/>
            </w:tcBorders>
          </w:tcPr>
          <w:p w14:paraId="6672C223" w14:textId="77777777" w:rsidR="00C159E8" w:rsidRPr="009F7B05" w:rsidRDefault="00C159E8">
            <w:pPr>
              <w:widowControl w:val="0"/>
              <w:autoSpaceDE w:val="0"/>
              <w:autoSpaceDN w:val="0"/>
              <w:adjustRightInd w:val="0"/>
              <w:jc w:val="right"/>
            </w:pPr>
            <w:r w:rsidRPr="009F7B05">
              <w:t>107,347</w:t>
            </w:r>
          </w:p>
        </w:tc>
        <w:tc>
          <w:tcPr>
            <w:tcW w:w="1260" w:type="dxa"/>
            <w:tcBorders>
              <w:top w:val="single" w:sz="6" w:space="0" w:color="auto"/>
              <w:left w:val="single" w:sz="6" w:space="0" w:color="auto"/>
              <w:bottom w:val="single" w:sz="6" w:space="0" w:color="auto"/>
              <w:right w:val="single" w:sz="6" w:space="0" w:color="auto"/>
            </w:tcBorders>
          </w:tcPr>
          <w:p w14:paraId="5B8E9F11" w14:textId="77777777" w:rsidR="00C159E8" w:rsidRPr="009F7B05" w:rsidRDefault="00C159E8">
            <w:pPr>
              <w:widowControl w:val="0"/>
              <w:autoSpaceDE w:val="0"/>
              <w:autoSpaceDN w:val="0"/>
              <w:adjustRightInd w:val="0"/>
              <w:jc w:val="right"/>
            </w:pPr>
            <w:r w:rsidRPr="009F7B05">
              <w:t>21,789</w:t>
            </w:r>
          </w:p>
        </w:tc>
        <w:tc>
          <w:tcPr>
            <w:tcW w:w="1260" w:type="dxa"/>
            <w:tcBorders>
              <w:top w:val="single" w:sz="6" w:space="0" w:color="auto"/>
              <w:left w:val="single" w:sz="6" w:space="0" w:color="auto"/>
              <w:bottom w:val="single" w:sz="6" w:space="0" w:color="auto"/>
              <w:right w:val="single" w:sz="6" w:space="0" w:color="auto"/>
            </w:tcBorders>
          </w:tcPr>
          <w:p w14:paraId="09792DAA" w14:textId="77777777" w:rsidR="00C159E8" w:rsidRPr="009F7B05" w:rsidRDefault="00C159E8">
            <w:pPr>
              <w:widowControl w:val="0"/>
              <w:autoSpaceDE w:val="0"/>
              <w:autoSpaceDN w:val="0"/>
              <w:adjustRightInd w:val="0"/>
              <w:jc w:val="right"/>
            </w:pPr>
            <w:r w:rsidRPr="009F7B05">
              <w:t>818,889</w:t>
            </w:r>
          </w:p>
        </w:tc>
        <w:tc>
          <w:tcPr>
            <w:tcW w:w="1800" w:type="dxa"/>
            <w:tcBorders>
              <w:top w:val="single" w:sz="6" w:space="0" w:color="auto"/>
              <w:left w:val="single" w:sz="6" w:space="0" w:color="auto"/>
              <w:bottom w:val="single" w:sz="6" w:space="0" w:color="auto"/>
              <w:right w:val="single" w:sz="6" w:space="0" w:color="auto"/>
            </w:tcBorders>
          </w:tcPr>
          <w:p w14:paraId="08D9881C" w14:textId="77777777" w:rsidR="00C159E8" w:rsidRPr="009F7B05" w:rsidRDefault="00C159E8">
            <w:pPr>
              <w:widowControl w:val="0"/>
              <w:autoSpaceDE w:val="0"/>
              <w:autoSpaceDN w:val="0"/>
              <w:adjustRightInd w:val="0"/>
              <w:jc w:val="right"/>
            </w:pPr>
            <w:r w:rsidRPr="009F7B05">
              <w:t>$2,127,459</w:t>
            </w:r>
          </w:p>
        </w:tc>
        <w:tc>
          <w:tcPr>
            <w:tcW w:w="1080" w:type="dxa"/>
            <w:tcBorders>
              <w:top w:val="single" w:sz="6" w:space="0" w:color="auto"/>
              <w:left w:val="single" w:sz="6" w:space="0" w:color="auto"/>
              <w:bottom w:val="single" w:sz="6" w:space="0" w:color="auto"/>
              <w:right w:val="single" w:sz="6" w:space="0" w:color="auto"/>
            </w:tcBorders>
          </w:tcPr>
          <w:p w14:paraId="1C475A3D" w14:textId="77777777" w:rsidR="00C159E8" w:rsidRPr="009F7B05" w:rsidRDefault="00C159E8">
            <w:pPr>
              <w:widowControl w:val="0"/>
              <w:autoSpaceDE w:val="0"/>
              <w:autoSpaceDN w:val="0"/>
              <w:adjustRightInd w:val="0"/>
              <w:jc w:val="right"/>
            </w:pPr>
            <w:r w:rsidRPr="009F7B05">
              <w:t>$2.60</w:t>
            </w:r>
          </w:p>
        </w:tc>
      </w:tr>
      <w:tr w:rsidR="009F7B05" w14:paraId="6DE8CBE0" w14:textId="77777777" w:rsidTr="009F7B05">
        <w:trPr>
          <w:trHeight w:val="240"/>
        </w:trPr>
        <w:tc>
          <w:tcPr>
            <w:tcW w:w="3690" w:type="dxa"/>
            <w:tcBorders>
              <w:top w:val="single" w:sz="6" w:space="0" w:color="auto"/>
              <w:left w:val="single" w:sz="6" w:space="0" w:color="auto"/>
              <w:bottom w:val="single" w:sz="6" w:space="0" w:color="auto"/>
              <w:right w:val="single" w:sz="6" w:space="0" w:color="auto"/>
            </w:tcBorders>
          </w:tcPr>
          <w:p w14:paraId="39338FD8" w14:textId="77777777" w:rsidR="00C159E8" w:rsidRPr="009F7B05" w:rsidRDefault="00C159E8" w:rsidP="009F7B05">
            <w:pPr>
              <w:widowControl w:val="0"/>
              <w:autoSpaceDE w:val="0"/>
              <w:autoSpaceDN w:val="0"/>
              <w:adjustRightInd w:val="0"/>
            </w:pPr>
            <w:r w:rsidRPr="009F7B05">
              <w:t>Hillsboro Public Library</w:t>
            </w:r>
          </w:p>
        </w:tc>
        <w:tc>
          <w:tcPr>
            <w:tcW w:w="1260" w:type="dxa"/>
            <w:tcBorders>
              <w:top w:val="single" w:sz="6" w:space="0" w:color="auto"/>
              <w:left w:val="single" w:sz="6" w:space="0" w:color="auto"/>
              <w:bottom w:val="single" w:sz="6" w:space="0" w:color="auto"/>
              <w:right w:val="single" w:sz="6" w:space="0" w:color="auto"/>
            </w:tcBorders>
          </w:tcPr>
          <w:p w14:paraId="0A2211FC" w14:textId="77777777" w:rsidR="00C159E8" w:rsidRPr="009F7B05" w:rsidRDefault="00C159E8">
            <w:pPr>
              <w:widowControl w:val="0"/>
              <w:autoSpaceDE w:val="0"/>
              <w:autoSpaceDN w:val="0"/>
              <w:adjustRightInd w:val="0"/>
              <w:jc w:val="right"/>
            </w:pPr>
            <w:r w:rsidRPr="009F7B05">
              <w:t>132,787</w:t>
            </w:r>
          </w:p>
        </w:tc>
        <w:tc>
          <w:tcPr>
            <w:tcW w:w="1260" w:type="dxa"/>
            <w:tcBorders>
              <w:top w:val="single" w:sz="6" w:space="0" w:color="auto"/>
              <w:left w:val="single" w:sz="6" w:space="0" w:color="auto"/>
              <w:bottom w:val="single" w:sz="6" w:space="0" w:color="auto"/>
              <w:right w:val="single" w:sz="6" w:space="0" w:color="auto"/>
            </w:tcBorders>
          </w:tcPr>
          <w:p w14:paraId="5818B315" w14:textId="77777777" w:rsidR="00C159E8" w:rsidRPr="009F7B05" w:rsidRDefault="00C159E8">
            <w:pPr>
              <w:widowControl w:val="0"/>
              <w:autoSpaceDE w:val="0"/>
              <w:autoSpaceDN w:val="0"/>
              <w:adjustRightInd w:val="0"/>
              <w:jc w:val="right"/>
            </w:pPr>
            <w:r w:rsidRPr="009F7B05">
              <w:t>2,513,747</w:t>
            </w:r>
          </w:p>
        </w:tc>
        <w:tc>
          <w:tcPr>
            <w:tcW w:w="1080" w:type="dxa"/>
            <w:tcBorders>
              <w:top w:val="single" w:sz="6" w:space="0" w:color="auto"/>
              <w:left w:val="single" w:sz="6" w:space="0" w:color="auto"/>
              <w:bottom w:val="single" w:sz="6" w:space="0" w:color="auto"/>
              <w:right w:val="single" w:sz="6" w:space="0" w:color="auto"/>
            </w:tcBorders>
          </w:tcPr>
          <w:p w14:paraId="469B11DB" w14:textId="77777777" w:rsidR="00C159E8" w:rsidRPr="009F7B05" w:rsidRDefault="00C159E8">
            <w:pPr>
              <w:widowControl w:val="0"/>
              <w:autoSpaceDE w:val="0"/>
              <w:autoSpaceDN w:val="0"/>
              <w:adjustRightInd w:val="0"/>
              <w:jc w:val="right"/>
            </w:pPr>
            <w:r w:rsidRPr="009F7B05">
              <w:t>83,519</w:t>
            </w:r>
          </w:p>
        </w:tc>
        <w:tc>
          <w:tcPr>
            <w:tcW w:w="1260" w:type="dxa"/>
            <w:tcBorders>
              <w:top w:val="single" w:sz="6" w:space="0" w:color="auto"/>
              <w:left w:val="single" w:sz="6" w:space="0" w:color="auto"/>
              <w:bottom w:val="single" w:sz="6" w:space="0" w:color="auto"/>
              <w:right w:val="single" w:sz="6" w:space="0" w:color="auto"/>
            </w:tcBorders>
          </w:tcPr>
          <w:p w14:paraId="4608E79C" w14:textId="77777777" w:rsidR="00C159E8" w:rsidRPr="009F7B05" w:rsidRDefault="00C159E8">
            <w:pPr>
              <w:widowControl w:val="0"/>
              <w:autoSpaceDE w:val="0"/>
              <w:autoSpaceDN w:val="0"/>
              <w:adjustRightInd w:val="0"/>
              <w:jc w:val="right"/>
            </w:pPr>
            <w:r w:rsidRPr="009F7B05">
              <w:t>29,415</w:t>
            </w:r>
          </w:p>
        </w:tc>
        <w:tc>
          <w:tcPr>
            <w:tcW w:w="1260" w:type="dxa"/>
            <w:tcBorders>
              <w:top w:val="single" w:sz="6" w:space="0" w:color="auto"/>
              <w:left w:val="single" w:sz="6" w:space="0" w:color="auto"/>
              <w:bottom w:val="single" w:sz="6" w:space="0" w:color="auto"/>
              <w:right w:val="single" w:sz="6" w:space="0" w:color="auto"/>
            </w:tcBorders>
          </w:tcPr>
          <w:p w14:paraId="5EAA1879" w14:textId="77777777" w:rsidR="00C159E8" w:rsidRPr="009F7B05" w:rsidRDefault="00C159E8">
            <w:pPr>
              <w:widowControl w:val="0"/>
              <w:autoSpaceDE w:val="0"/>
              <w:autoSpaceDN w:val="0"/>
              <w:adjustRightInd w:val="0"/>
              <w:jc w:val="right"/>
            </w:pPr>
            <w:r w:rsidRPr="009F7B05">
              <w:t>2,626,681</w:t>
            </w:r>
          </w:p>
        </w:tc>
        <w:tc>
          <w:tcPr>
            <w:tcW w:w="1800" w:type="dxa"/>
            <w:tcBorders>
              <w:top w:val="single" w:sz="6" w:space="0" w:color="auto"/>
              <w:left w:val="single" w:sz="6" w:space="0" w:color="auto"/>
              <w:bottom w:val="single" w:sz="6" w:space="0" w:color="auto"/>
              <w:right w:val="single" w:sz="6" w:space="0" w:color="auto"/>
            </w:tcBorders>
          </w:tcPr>
          <w:p w14:paraId="3E79BAC4" w14:textId="77777777" w:rsidR="00C159E8" w:rsidRPr="009F7B05" w:rsidRDefault="00C159E8">
            <w:pPr>
              <w:widowControl w:val="0"/>
              <w:autoSpaceDE w:val="0"/>
              <w:autoSpaceDN w:val="0"/>
              <w:adjustRightInd w:val="0"/>
              <w:jc w:val="right"/>
            </w:pPr>
            <w:r w:rsidRPr="009F7B05">
              <w:t>$6,981,077</w:t>
            </w:r>
          </w:p>
        </w:tc>
        <w:tc>
          <w:tcPr>
            <w:tcW w:w="1080" w:type="dxa"/>
            <w:tcBorders>
              <w:top w:val="single" w:sz="6" w:space="0" w:color="auto"/>
              <w:left w:val="single" w:sz="6" w:space="0" w:color="auto"/>
              <w:bottom w:val="single" w:sz="6" w:space="0" w:color="auto"/>
              <w:right w:val="single" w:sz="6" w:space="0" w:color="auto"/>
            </w:tcBorders>
          </w:tcPr>
          <w:p w14:paraId="5EFEBEC1" w14:textId="77777777" w:rsidR="00C159E8" w:rsidRPr="009F7B05" w:rsidRDefault="00C159E8">
            <w:pPr>
              <w:widowControl w:val="0"/>
              <w:autoSpaceDE w:val="0"/>
              <w:autoSpaceDN w:val="0"/>
              <w:adjustRightInd w:val="0"/>
              <w:jc w:val="right"/>
            </w:pPr>
            <w:r w:rsidRPr="009F7B05">
              <w:t>$2.66</w:t>
            </w:r>
          </w:p>
        </w:tc>
      </w:tr>
      <w:tr w:rsidR="009F7B05" w14:paraId="3DB3711B" w14:textId="77777777" w:rsidTr="009F7B05">
        <w:trPr>
          <w:trHeight w:val="240"/>
        </w:trPr>
        <w:tc>
          <w:tcPr>
            <w:tcW w:w="3690" w:type="dxa"/>
            <w:tcBorders>
              <w:top w:val="single" w:sz="6" w:space="0" w:color="auto"/>
              <w:left w:val="single" w:sz="6" w:space="0" w:color="auto"/>
              <w:bottom w:val="single" w:sz="6" w:space="0" w:color="auto"/>
              <w:right w:val="single" w:sz="6" w:space="0" w:color="auto"/>
            </w:tcBorders>
          </w:tcPr>
          <w:p w14:paraId="16E24172" w14:textId="77777777" w:rsidR="00C159E8" w:rsidRPr="009F7B05" w:rsidRDefault="00C159E8" w:rsidP="009F7B05">
            <w:pPr>
              <w:widowControl w:val="0"/>
              <w:autoSpaceDE w:val="0"/>
              <w:autoSpaceDN w:val="0"/>
              <w:adjustRightInd w:val="0"/>
            </w:pPr>
            <w:r w:rsidRPr="009F7B05">
              <w:t xml:space="preserve">Beaverton City Library </w:t>
            </w:r>
          </w:p>
        </w:tc>
        <w:tc>
          <w:tcPr>
            <w:tcW w:w="1260" w:type="dxa"/>
            <w:tcBorders>
              <w:top w:val="single" w:sz="6" w:space="0" w:color="auto"/>
              <w:left w:val="single" w:sz="6" w:space="0" w:color="auto"/>
              <w:bottom w:val="single" w:sz="6" w:space="0" w:color="auto"/>
              <w:right w:val="single" w:sz="6" w:space="0" w:color="auto"/>
            </w:tcBorders>
          </w:tcPr>
          <w:p w14:paraId="00F569A4" w14:textId="77777777" w:rsidR="00C159E8" w:rsidRPr="009F7B05" w:rsidRDefault="00C159E8">
            <w:pPr>
              <w:widowControl w:val="0"/>
              <w:autoSpaceDE w:val="0"/>
              <w:autoSpaceDN w:val="0"/>
              <w:adjustRightInd w:val="0"/>
              <w:jc w:val="right"/>
            </w:pPr>
            <w:r w:rsidRPr="009F7B05">
              <w:t>139,008</w:t>
            </w:r>
          </w:p>
        </w:tc>
        <w:tc>
          <w:tcPr>
            <w:tcW w:w="1260" w:type="dxa"/>
            <w:tcBorders>
              <w:top w:val="single" w:sz="6" w:space="0" w:color="auto"/>
              <w:left w:val="single" w:sz="6" w:space="0" w:color="auto"/>
              <w:bottom w:val="single" w:sz="6" w:space="0" w:color="auto"/>
              <w:right w:val="single" w:sz="6" w:space="0" w:color="auto"/>
            </w:tcBorders>
          </w:tcPr>
          <w:p w14:paraId="61E26708" w14:textId="77777777" w:rsidR="00C159E8" w:rsidRPr="009F7B05" w:rsidRDefault="00C159E8">
            <w:pPr>
              <w:widowControl w:val="0"/>
              <w:autoSpaceDE w:val="0"/>
              <w:autoSpaceDN w:val="0"/>
              <w:adjustRightInd w:val="0"/>
              <w:jc w:val="right"/>
            </w:pPr>
            <w:r w:rsidRPr="009F7B05">
              <w:t>2,701,583</w:t>
            </w:r>
          </w:p>
        </w:tc>
        <w:tc>
          <w:tcPr>
            <w:tcW w:w="1080" w:type="dxa"/>
            <w:tcBorders>
              <w:top w:val="single" w:sz="6" w:space="0" w:color="auto"/>
              <w:left w:val="single" w:sz="6" w:space="0" w:color="auto"/>
              <w:bottom w:val="single" w:sz="6" w:space="0" w:color="auto"/>
              <w:right w:val="single" w:sz="6" w:space="0" w:color="auto"/>
            </w:tcBorders>
          </w:tcPr>
          <w:p w14:paraId="45978F6C" w14:textId="77777777" w:rsidR="00C159E8" w:rsidRPr="009F7B05" w:rsidRDefault="00C159E8">
            <w:pPr>
              <w:widowControl w:val="0"/>
              <w:autoSpaceDE w:val="0"/>
              <w:autoSpaceDN w:val="0"/>
              <w:adjustRightInd w:val="0"/>
              <w:jc w:val="right"/>
            </w:pPr>
            <w:r w:rsidRPr="009F7B05">
              <w:t>74,244</w:t>
            </w:r>
          </w:p>
        </w:tc>
        <w:tc>
          <w:tcPr>
            <w:tcW w:w="1260" w:type="dxa"/>
            <w:tcBorders>
              <w:top w:val="single" w:sz="6" w:space="0" w:color="auto"/>
              <w:left w:val="single" w:sz="6" w:space="0" w:color="auto"/>
              <w:bottom w:val="single" w:sz="6" w:space="0" w:color="auto"/>
              <w:right w:val="single" w:sz="6" w:space="0" w:color="auto"/>
            </w:tcBorders>
          </w:tcPr>
          <w:p w14:paraId="62660EA7" w14:textId="77777777" w:rsidR="00C159E8" w:rsidRPr="009F7B05" w:rsidRDefault="00C159E8">
            <w:pPr>
              <w:widowControl w:val="0"/>
              <w:autoSpaceDE w:val="0"/>
              <w:autoSpaceDN w:val="0"/>
              <w:adjustRightInd w:val="0"/>
              <w:jc w:val="right"/>
            </w:pPr>
            <w:r w:rsidRPr="009F7B05">
              <w:t>44,092</w:t>
            </w:r>
          </w:p>
        </w:tc>
        <w:tc>
          <w:tcPr>
            <w:tcW w:w="1260" w:type="dxa"/>
            <w:tcBorders>
              <w:top w:val="single" w:sz="6" w:space="0" w:color="auto"/>
              <w:left w:val="single" w:sz="6" w:space="0" w:color="auto"/>
              <w:bottom w:val="single" w:sz="6" w:space="0" w:color="auto"/>
              <w:right w:val="single" w:sz="6" w:space="0" w:color="auto"/>
            </w:tcBorders>
          </w:tcPr>
          <w:p w14:paraId="004D1681" w14:textId="77777777" w:rsidR="00C159E8" w:rsidRPr="009F7B05" w:rsidRDefault="00C159E8">
            <w:pPr>
              <w:widowControl w:val="0"/>
              <w:autoSpaceDE w:val="0"/>
              <w:autoSpaceDN w:val="0"/>
              <w:adjustRightInd w:val="0"/>
              <w:jc w:val="right"/>
            </w:pPr>
            <w:r w:rsidRPr="009F7B05">
              <w:t>2,819,919</w:t>
            </w:r>
          </w:p>
        </w:tc>
        <w:tc>
          <w:tcPr>
            <w:tcW w:w="1800" w:type="dxa"/>
            <w:tcBorders>
              <w:top w:val="single" w:sz="6" w:space="0" w:color="auto"/>
              <w:left w:val="single" w:sz="6" w:space="0" w:color="auto"/>
              <w:bottom w:val="single" w:sz="6" w:space="0" w:color="auto"/>
              <w:right w:val="single" w:sz="6" w:space="0" w:color="auto"/>
            </w:tcBorders>
          </w:tcPr>
          <w:p w14:paraId="286513AE" w14:textId="77777777" w:rsidR="00C159E8" w:rsidRPr="009F7B05" w:rsidRDefault="00C159E8">
            <w:pPr>
              <w:widowControl w:val="0"/>
              <w:autoSpaceDE w:val="0"/>
              <w:autoSpaceDN w:val="0"/>
              <w:adjustRightInd w:val="0"/>
              <w:jc w:val="right"/>
            </w:pPr>
            <w:r w:rsidRPr="009F7B05">
              <w:t>$6,721,242</w:t>
            </w:r>
          </w:p>
        </w:tc>
        <w:tc>
          <w:tcPr>
            <w:tcW w:w="1080" w:type="dxa"/>
            <w:tcBorders>
              <w:top w:val="single" w:sz="6" w:space="0" w:color="auto"/>
              <w:left w:val="single" w:sz="6" w:space="0" w:color="auto"/>
              <w:bottom w:val="single" w:sz="6" w:space="0" w:color="auto"/>
              <w:right w:val="single" w:sz="6" w:space="0" w:color="auto"/>
            </w:tcBorders>
          </w:tcPr>
          <w:p w14:paraId="48B0B242" w14:textId="77777777" w:rsidR="00C159E8" w:rsidRPr="009F7B05" w:rsidRDefault="00C159E8">
            <w:pPr>
              <w:widowControl w:val="0"/>
              <w:autoSpaceDE w:val="0"/>
              <w:autoSpaceDN w:val="0"/>
              <w:adjustRightInd w:val="0"/>
              <w:jc w:val="right"/>
            </w:pPr>
            <w:r w:rsidRPr="009F7B05">
              <w:t>$2.38</w:t>
            </w:r>
          </w:p>
        </w:tc>
      </w:tr>
      <w:tr w:rsidR="009F7B05" w14:paraId="7CD49291" w14:textId="77777777" w:rsidTr="009F7B05">
        <w:trPr>
          <w:trHeight w:val="240"/>
        </w:trPr>
        <w:tc>
          <w:tcPr>
            <w:tcW w:w="3690" w:type="dxa"/>
            <w:tcBorders>
              <w:top w:val="single" w:sz="6" w:space="0" w:color="auto"/>
              <w:left w:val="single" w:sz="6" w:space="0" w:color="auto"/>
              <w:bottom w:val="single" w:sz="6" w:space="0" w:color="auto"/>
              <w:right w:val="single" w:sz="6" w:space="0" w:color="auto"/>
            </w:tcBorders>
          </w:tcPr>
          <w:p w14:paraId="2806FE90" w14:textId="77777777" w:rsidR="00C159E8" w:rsidRPr="009F7B05" w:rsidRDefault="00C159E8" w:rsidP="009F7B05">
            <w:pPr>
              <w:widowControl w:val="0"/>
              <w:autoSpaceDE w:val="0"/>
              <w:autoSpaceDN w:val="0"/>
              <w:adjustRightInd w:val="0"/>
            </w:pPr>
            <w:r w:rsidRPr="009F7B05">
              <w:t>Eugene Public Library</w:t>
            </w:r>
          </w:p>
        </w:tc>
        <w:tc>
          <w:tcPr>
            <w:tcW w:w="1260" w:type="dxa"/>
            <w:tcBorders>
              <w:top w:val="single" w:sz="6" w:space="0" w:color="auto"/>
              <w:left w:val="single" w:sz="6" w:space="0" w:color="auto"/>
              <w:bottom w:val="single" w:sz="6" w:space="0" w:color="auto"/>
              <w:right w:val="single" w:sz="6" w:space="0" w:color="auto"/>
            </w:tcBorders>
          </w:tcPr>
          <w:p w14:paraId="2F60A76A" w14:textId="77777777" w:rsidR="00C159E8" w:rsidRPr="009F7B05" w:rsidRDefault="00C159E8">
            <w:pPr>
              <w:widowControl w:val="0"/>
              <w:autoSpaceDE w:val="0"/>
              <w:autoSpaceDN w:val="0"/>
              <w:adjustRightInd w:val="0"/>
              <w:jc w:val="right"/>
            </w:pPr>
            <w:r w:rsidRPr="009F7B05">
              <w:t>157,100</w:t>
            </w:r>
          </w:p>
        </w:tc>
        <w:tc>
          <w:tcPr>
            <w:tcW w:w="1260" w:type="dxa"/>
            <w:tcBorders>
              <w:top w:val="single" w:sz="6" w:space="0" w:color="auto"/>
              <w:left w:val="single" w:sz="6" w:space="0" w:color="auto"/>
              <w:bottom w:val="single" w:sz="6" w:space="0" w:color="auto"/>
              <w:right w:val="single" w:sz="6" w:space="0" w:color="auto"/>
            </w:tcBorders>
          </w:tcPr>
          <w:p w14:paraId="2A0363D4" w14:textId="77777777" w:rsidR="00C159E8" w:rsidRPr="009F7B05" w:rsidRDefault="00C159E8">
            <w:pPr>
              <w:widowControl w:val="0"/>
              <w:autoSpaceDE w:val="0"/>
              <w:autoSpaceDN w:val="0"/>
              <w:adjustRightInd w:val="0"/>
              <w:jc w:val="right"/>
            </w:pPr>
            <w:r w:rsidRPr="009F7B05">
              <w:t>2,929,086</w:t>
            </w:r>
          </w:p>
        </w:tc>
        <w:tc>
          <w:tcPr>
            <w:tcW w:w="1080" w:type="dxa"/>
            <w:tcBorders>
              <w:top w:val="single" w:sz="6" w:space="0" w:color="auto"/>
              <w:left w:val="single" w:sz="6" w:space="0" w:color="auto"/>
              <w:bottom w:val="single" w:sz="6" w:space="0" w:color="auto"/>
              <w:right w:val="single" w:sz="6" w:space="0" w:color="auto"/>
            </w:tcBorders>
          </w:tcPr>
          <w:p w14:paraId="5F197915" w14:textId="77777777" w:rsidR="00C159E8" w:rsidRPr="009F7B05" w:rsidRDefault="00C159E8">
            <w:pPr>
              <w:widowControl w:val="0"/>
              <w:autoSpaceDE w:val="0"/>
              <w:autoSpaceDN w:val="0"/>
              <w:adjustRightInd w:val="0"/>
              <w:jc w:val="right"/>
            </w:pPr>
            <w:r w:rsidRPr="009F7B05">
              <w:t>128,960</w:t>
            </w:r>
          </w:p>
        </w:tc>
        <w:tc>
          <w:tcPr>
            <w:tcW w:w="1260" w:type="dxa"/>
            <w:tcBorders>
              <w:top w:val="single" w:sz="6" w:space="0" w:color="auto"/>
              <w:left w:val="single" w:sz="6" w:space="0" w:color="auto"/>
              <w:bottom w:val="single" w:sz="6" w:space="0" w:color="auto"/>
              <w:right w:val="single" w:sz="6" w:space="0" w:color="auto"/>
            </w:tcBorders>
          </w:tcPr>
          <w:p w14:paraId="6F46F5E4" w14:textId="77777777" w:rsidR="00C159E8" w:rsidRPr="009F7B05" w:rsidRDefault="00C159E8">
            <w:pPr>
              <w:widowControl w:val="0"/>
              <w:autoSpaceDE w:val="0"/>
              <w:autoSpaceDN w:val="0"/>
              <w:adjustRightInd w:val="0"/>
              <w:jc w:val="right"/>
            </w:pPr>
            <w:r w:rsidRPr="009F7B05">
              <w:t>38,725</w:t>
            </w:r>
          </w:p>
        </w:tc>
        <w:tc>
          <w:tcPr>
            <w:tcW w:w="1260" w:type="dxa"/>
            <w:tcBorders>
              <w:top w:val="single" w:sz="6" w:space="0" w:color="auto"/>
              <w:left w:val="single" w:sz="6" w:space="0" w:color="auto"/>
              <w:bottom w:val="single" w:sz="6" w:space="0" w:color="auto"/>
              <w:right w:val="single" w:sz="6" w:space="0" w:color="auto"/>
            </w:tcBorders>
          </w:tcPr>
          <w:p w14:paraId="10540ED0" w14:textId="77777777" w:rsidR="00C159E8" w:rsidRPr="009F7B05" w:rsidRDefault="00C159E8">
            <w:pPr>
              <w:widowControl w:val="0"/>
              <w:autoSpaceDE w:val="0"/>
              <w:autoSpaceDN w:val="0"/>
              <w:adjustRightInd w:val="0"/>
              <w:jc w:val="right"/>
            </w:pPr>
            <w:r w:rsidRPr="009F7B05">
              <w:t>3,096,771</w:t>
            </w:r>
          </w:p>
        </w:tc>
        <w:tc>
          <w:tcPr>
            <w:tcW w:w="1800" w:type="dxa"/>
            <w:tcBorders>
              <w:top w:val="single" w:sz="6" w:space="0" w:color="auto"/>
              <w:left w:val="single" w:sz="6" w:space="0" w:color="auto"/>
              <w:bottom w:val="single" w:sz="6" w:space="0" w:color="auto"/>
              <w:right w:val="single" w:sz="6" w:space="0" w:color="auto"/>
            </w:tcBorders>
          </w:tcPr>
          <w:p w14:paraId="03C8F318" w14:textId="77777777" w:rsidR="00C159E8" w:rsidRPr="009F7B05" w:rsidRDefault="00C159E8">
            <w:pPr>
              <w:widowControl w:val="0"/>
              <w:autoSpaceDE w:val="0"/>
              <w:autoSpaceDN w:val="0"/>
              <w:adjustRightInd w:val="0"/>
              <w:jc w:val="right"/>
            </w:pPr>
            <w:r w:rsidRPr="009F7B05">
              <w:t>$11,170,458</w:t>
            </w:r>
          </w:p>
        </w:tc>
        <w:tc>
          <w:tcPr>
            <w:tcW w:w="1080" w:type="dxa"/>
            <w:tcBorders>
              <w:top w:val="single" w:sz="6" w:space="0" w:color="auto"/>
              <w:left w:val="single" w:sz="6" w:space="0" w:color="auto"/>
              <w:bottom w:val="single" w:sz="6" w:space="0" w:color="auto"/>
              <w:right w:val="single" w:sz="6" w:space="0" w:color="auto"/>
            </w:tcBorders>
          </w:tcPr>
          <w:p w14:paraId="4F2295AB" w14:textId="77777777" w:rsidR="00C159E8" w:rsidRPr="009F7B05" w:rsidRDefault="00C159E8">
            <w:pPr>
              <w:widowControl w:val="0"/>
              <w:autoSpaceDE w:val="0"/>
              <w:autoSpaceDN w:val="0"/>
              <w:adjustRightInd w:val="0"/>
              <w:jc w:val="right"/>
            </w:pPr>
            <w:r w:rsidRPr="009F7B05">
              <w:t>$3.61</w:t>
            </w:r>
          </w:p>
        </w:tc>
      </w:tr>
      <w:tr w:rsidR="009F7B05" w14:paraId="06007295" w14:textId="77777777" w:rsidTr="009F7B05">
        <w:trPr>
          <w:trHeight w:val="240"/>
        </w:trPr>
        <w:tc>
          <w:tcPr>
            <w:tcW w:w="3690" w:type="dxa"/>
            <w:tcBorders>
              <w:top w:val="single" w:sz="6" w:space="0" w:color="auto"/>
              <w:left w:val="single" w:sz="6" w:space="0" w:color="auto"/>
              <w:bottom w:val="single" w:sz="6" w:space="0" w:color="auto"/>
              <w:right w:val="single" w:sz="6" w:space="0" w:color="auto"/>
            </w:tcBorders>
          </w:tcPr>
          <w:p w14:paraId="0207AF87" w14:textId="77777777" w:rsidR="00C159E8" w:rsidRPr="009F7B05" w:rsidRDefault="00C159E8" w:rsidP="009F7B05">
            <w:pPr>
              <w:widowControl w:val="0"/>
              <w:autoSpaceDE w:val="0"/>
              <w:autoSpaceDN w:val="0"/>
              <w:adjustRightInd w:val="0"/>
            </w:pPr>
            <w:r w:rsidRPr="009F7B05">
              <w:t>Deschutes Public Library District</w:t>
            </w:r>
          </w:p>
        </w:tc>
        <w:tc>
          <w:tcPr>
            <w:tcW w:w="1260" w:type="dxa"/>
            <w:tcBorders>
              <w:top w:val="single" w:sz="6" w:space="0" w:color="auto"/>
              <w:left w:val="single" w:sz="6" w:space="0" w:color="auto"/>
              <w:bottom w:val="single" w:sz="6" w:space="0" w:color="auto"/>
              <w:right w:val="single" w:sz="6" w:space="0" w:color="auto"/>
            </w:tcBorders>
          </w:tcPr>
          <w:p w14:paraId="7BE5826A" w14:textId="77777777" w:rsidR="00C159E8" w:rsidRPr="009F7B05" w:rsidRDefault="00C159E8">
            <w:pPr>
              <w:widowControl w:val="0"/>
              <w:autoSpaceDE w:val="0"/>
              <w:autoSpaceDN w:val="0"/>
              <w:adjustRightInd w:val="0"/>
              <w:jc w:val="right"/>
            </w:pPr>
            <w:r w:rsidRPr="009F7B05">
              <w:t>170,705</w:t>
            </w:r>
          </w:p>
        </w:tc>
        <w:tc>
          <w:tcPr>
            <w:tcW w:w="1260" w:type="dxa"/>
            <w:tcBorders>
              <w:top w:val="single" w:sz="6" w:space="0" w:color="auto"/>
              <w:left w:val="single" w:sz="6" w:space="0" w:color="auto"/>
              <w:bottom w:val="single" w:sz="6" w:space="0" w:color="auto"/>
              <w:right w:val="single" w:sz="6" w:space="0" w:color="auto"/>
            </w:tcBorders>
          </w:tcPr>
          <w:p w14:paraId="2EC91B71" w14:textId="77777777" w:rsidR="00C159E8" w:rsidRPr="009F7B05" w:rsidRDefault="00C159E8">
            <w:pPr>
              <w:widowControl w:val="0"/>
              <w:autoSpaceDE w:val="0"/>
              <w:autoSpaceDN w:val="0"/>
              <w:adjustRightInd w:val="0"/>
              <w:jc w:val="right"/>
            </w:pPr>
            <w:r w:rsidRPr="009F7B05">
              <w:t>2,457,926</w:t>
            </w:r>
          </w:p>
        </w:tc>
        <w:tc>
          <w:tcPr>
            <w:tcW w:w="1080" w:type="dxa"/>
            <w:tcBorders>
              <w:top w:val="single" w:sz="6" w:space="0" w:color="auto"/>
              <w:left w:val="single" w:sz="6" w:space="0" w:color="auto"/>
              <w:bottom w:val="single" w:sz="6" w:space="0" w:color="auto"/>
              <w:right w:val="single" w:sz="6" w:space="0" w:color="auto"/>
            </w:tcBorders>
          </w:tcPr>
          <w:p w14:paraId="742E7D10" w14:textId="77777777" w:rsidR="00C159E8" w:rsidRPr="009F7B05" w:rsidRDefault="00C159E8">
            <w:pPr>
              <w:widowControl w:val="0"/>
              <w:autoSpaceDE w:val="0"/>
              <w:autoSpaceDN w:val="0"/>
              <w:adjustRightInd w:val="0"/>
              <w:jc w:val="right"/>
            </w:pPr>
            <w:r w:rsidRPr="009F7B05">
              <w:t>64,406</w:t>
            </w:r>
          </w:p>
        </w:tc>
        <w:tc>
          <w:tcPr>
            <w:tcW w:w="1260" w:type="dxa"/>
            <w:tcBorders>
              <w:top w:val="single" w:sz="6" w:space="0" w:color="auto"/>
              <w:left w:val="single" w:sz="6" w:space="0" w:color="auto"/>
              <w:bottom w:val="single" w:sz="6" w:space="0" w:color="auto"/>
              <w:right w:val="single" w:sz="6" w:space="0" w:color="auto"/>
            </w:tcBorders>
          </w:tcPr>
          <w:p w14:paraId="3680C5CD" w14:textId="77777777" w:rsidR="00C159E8" w:rsidRPr="009F7B05" w:rsidRDefault="00C159E8">
            <w:pPr>
              <w:widowControl w:val="0"/>
              <w:autoSpaceDE w:val="0"/>
              <w:autoSpaceDN w:val="0"/>
              <w:adjustRightInd w:val="0"/>
              <w:jc w:val="right"/>
            </w:pPr>
            <w:r w:rsidRPr="009F7B05">
              <w:t>87,676</w:t>
            </w:r>
          </w:p>
        </w:tc>
        <w:tc>
          <w:tcPr>
            <w:tcW w:w="1260" w:type="dxa"/>
            <w:tcBorders>
              <w:top w:val="single" w:sz="6" w:space="0" w:color="auto"/>
              <w:left w:val="single" w:sz="6" w:space="0" w:color="auto"/>
              <w:bottom w:val="single" w:sz="6" w:space="0" w:color="auto"/>
              <w:right w:val="single" w:sz="6" w:space="0" w:color="auto"/>
            </w:tcBorders>
          </w:tcPr>
          <w:p w14:paraId="05310E09" w14:textId="77777777" w:rsidR="00C159E8" w:rsidRPr="009F7B05" w:rsidRDefault="00C159E8">
            <w:pPr>
              <w:widowControl w:val="0"/>
              <w:autoSpaceDE w:val="0"/>
              <w:autoSpaceDN w:val="0"/>
              <w:adjustRightInd w:val="0"/>
              <w:jc w:val="right"/>
            </w:pPr>
            <w:r w:rsidRPr="009F7B05">
              <w:t>2,610,008</w:t>
            </w:r>
          </w:p>
        </w:tc>
        <w:tc>
          <w:tcPr>
            <w:tcW w:w="1800" w:type="dxa"/>
            <w:tcBorders>
              <w:top w:val="single" w:sz="6" w:space="0" w:color="auto"/>
              <w:left w:val="single" w:sz="6" w:space="0" w:color="auto"/>
              <w:bottom w:val="single" w:sz="6" w:space="0" w:color="auto"/>
              <w:right w:val="single" w:sz="6" w:space="0" w:color="auto"/>
            </w:tcBorders>
          </w:tcPr>
          <w:p w14:paraId="45F42A76" w14:textId="77777777" w:rsidR="00C159E8" w:rsidRPr="009F7B05" w:rsidRDefault="00C159E8">
            <w:pPr>
              <w:widowControl w:val="0"/>
              <w:autoSpaceDE w:val="0"/>
              <w:autoSpaceDN w:val="0"/>
              <w:adjustRightInd w:val="0"/>
              <w:jc w:val="right"/>
            </w:pPr>
            <w:r w:rsidRPr="009F7B05">
              <w:t>$8,587,735</w:t>
            </w:r>
          </w:p>
        </w:tc>
        <w:tc>
          <w:tcPr>
            <w:tcW w:w="1080" w:type="dxa"/>
            <w:tcBorders>
              <w:top w:val="single" w:sz="6" w:space="0" w:color="auto"/>
              <w:left w:val="single" w:sz="6" w:space="0" w:color="auto"/>
              <w:bottom w:val="single" w:sz="6" w:space="0" w:color="auto"/>
              <w:right w:val="single" w:sz="6" w:space="0" w:color="auto"/>
            </w:tcBorders>
          </w:tcPr>
          <w:p w14:paraId="430DDDBD" w14:textId="77777777" w:rsidR="00C159E8" w:rsidRPr="009F7B05" w:rsidRDefault="00C159E8">
            <w:pPr>
              <w:widowControl w:val="0"/>
              <w:autoSpaceDE w:val="0"/>
              <w:autoSpaceDN w:val="0"/>
              <w:adjustRightInd w:val="0"/>
              <w:jc w:val="right"/>
            </w:pPr>
            <w:r w:rsidRPr="009F7B05">
              <w:t>$3.29</w:t>
            </w:r>
          </w:p>
        </w:tc>
      </w:tr>
      <w:tr w:rsidR="009F7B05" w14:paraId="18226D82" w14:textId="77777777" w:rsidTr="009F7B05">
        <w:trPr>
          <w:trHeight w:val="240"/>
        </w:trPr>
        <w:tc>
          <w:tcPr>
            <w:tcW w:w="3690" w:type="dxa"/>
            <w:tcBorders>
              <w:top w:val="single" w:sz="6" w:space="0" w:color="auto"/>
              <w:left w:val="single" w:sz="6" w:space="0" w:color="auto"/>
              <w:bottom w:val="single" w:sz="6" w:space="0" w:color="auto"/>
              <w:right w:val="single" w:sz="6" w:space="0" w:color="auto"/>
            </w:tcBorders>
          </w:tcPr>
          <w:p w14:paraId="5A386637" w14:textId="77777777" w:rsidR="00C159E8" w:rsidRPr="009F7B05" w:rsidRDefault="00C159E8" w:rsidP="009F7B05">
            <w:pPr>
              <w:widowControl w:val="0"/>
              <w:autoSpaceDE w:val="0"/>
              <w:autoSpaceDN w:val="0"/>
              <w:adjustRightInd w:val="0"/>
            </w:pPr>
            <w:r w:rsidRPr="009F7B05">
              <w:t>Jackson County Library Services</w:t>
            </w:r>
          </w:p>
        </w:tc>
        <w:tc>
          <w:tcPr>
            <w:tcW w:w="1260" w:type="dxa"/>
            <w:tcBorders>
              <w:top w:val="single" w:sz="6" w:space="0" w:color="auto"/>
              <w:left w:val="single" w:sz="6" w:space="0" w:color="auto"/>
              <w:bottom w:val="single" w:sz="6" w:space="0" w:color="auto"/>
              <w:right w:val="single" w:sz="6" w:space="0" w:color="auto"/>
            </w:tcBorders>
          </w:tcPr>
          <w:p w14:paraId="40B62CA3" w14:textId="77777777" w:rsidR="00C159E8" w:rsidRPr="009F7B05" w:rsidRDefault="00C159E8">
            <w:pPr>
              <w:widowControl w:val="0"/>
              <w:autoSpaceDE w:val="0"/>
              <w:autoSpaceDN w:val="0"/>
              <w:adjustRightInd w:val="0"/>
              <w:jc w:val="right"/>
            </w:pPr>
            <w:r w:rsidRPr="009F7B05">
              <w:t>207,010</w:t>
            </w:r>
          </w:p>
        </w:tc>
        <w:tc>
          <w:tcPr>
            <w:tcW w:w="1260" w:type="dxa"/>
            <w:tcBorders>
              <w:top w:val="single" w:sz="6" w:space="0" w:color="auto"/>
              <w:left w:val="single" w:sz="6" w:space="0" w:color="auto"/>
              <w:bottom w:val="single" w:sz="6" w:space="0" w:color="auto"/>
              <w:right w:val="single" w:sz="6" w:space="0" w:color="auto"/>
            </w:tcBorders>
          </w:tcPr>
          <w:p w14:paraId="27DB4F32" w14:textId="77777777" w:rsidR="00C159E8" w:rsidRPr="009F7B05" w:rsidRDefault="00C159E8">
            <w:pPr>
              <w:widowControl w:val="0"/>
              <w:autoSpaceDE w:val="0"/>
              <w:autoSpaceDN w:val="0"/>
              <w:adjustRightInd w:val="0"/>
              <w:jc w:val="right"/>
            </w:pPr>
            <w:r w:rsidRPr="009F7B05">
              <w:t>1,528,568</w:t>
            </w:r>
          </w:p>
        </w:tc>
        <w:tc>
          <w:tcPr>
            <w:tcW w:w="1080" w:type="dxa"/>
            <w:tcBorders>
              <w:top w:val="single" w:sz="6" w:space="0" w:color="auto"/>
              <w:left w:val="single" w:sz="6" w:space="0" w:color="auto"/>
              <w:bottom w:val="single" w:sz="6" w:space="0" w:color="auto"/>
              <w:right w:val="single" w:sz="6" w:space="0" w:color="auto"/>
            </w:tcBorders>
          </w:tcPr>
          <w:p w14:paraId="2379ECCF" w14:textId="77777777" w:rsidR="00C159E8" w:rsidRPr="009F7B05" w:rsidRDefault="00C159E8">
            <w:pPr>
              <w:widowControl w:val="0"/>
              <w:autoSpaceDE w:val="0"/>
              <w:autoSpaceDN w:val="0"/>
              <w:adjustRightInd w:val="0"/>
              <w:jc w:val="right"/>
            </w:pPr>
            <w:r w:rsidRPr="009F7B05">
              <w:t>150,670</w:t>
            </w:r>
          </w:p>
        </w:tc>
        <w:tc>
          <w:tcPr>
            <w:tcW w:w="1260" w:type="dxa"/>
            <w:tcBorders>
              <w:top w:val="single" w:sz="6" w:space="0" w:color="auto"/>
              <w:left w:val="single" w:sz="6" w:space="0" w:color="auto"/>
              <w:bottom w:val="single" w:sz="6" w:space="0" w:color="auto"/>
              <w:right w:val="single" w:sz="6" w:space="0" w:color="auto"/>
            </w:tcBorders>
          </w:tcPr>
          <w:p w14:paraId="177E8B28" w14:textId="77777777" w:rsidR="00C159E8" w:rsidRPr="009F7B05" w:rsidRDefault="00C159E8">
            <w:pPr>
              <w:widowControl w:val="0"/>
              <w:autoSpaceDE w:val="0"/>
              <w:autoSpaceDN w:val="0"/>
              <w:adjustRightInd w:val="0"/>
              <w:jc w:val="right"/>
            </w:pPr>
            <w:r w:rsidRPr="009F7B05">
              <w:t>58,502</w:t>
            </w:r>
          </w:p>
        </w:tc>
        <w:tc>
          <w:tcPr>
            <w:tcW w:w="1260" w:type="dxa"/>
            <w:tcBorders>
              <w:top w:val="single" w:sz="6" w:space="0" w:color="auto"/>
              <w:left w:val="single" w:sz="6" w:space="0" w:color="auto"/>
              <w:bottom w:val="single" w:sz="6" w:space="0" w:color="auto"/>
              <w:right w:val="single" w:sz="6" w:space="0" w:color="auto"/>
            </w:tcBorders>
          </w:tcPr>
          <w:p w14:paraId="6CAD3BB8" w14:textId="77777777" w:rsidR="00C159E8" w:rsidRPr="009F7B05" w:rsidRDefault="00C159E8">
            <w:pPr>
              <w:widowControl w:val="0"/>
              <w:autoSpaceDE w:val="0"/>
              <w:autoSpaceDN w:val="0"/>
              <w:adjustRightInd w:val="0"/>
              <w:jc w:val="right"/>
            </w:pPr>
            <w:r w:rsidRPr="009F7B05">
              <w:t>1,737,740</w:t>
            </w:r>
          </w:p>
        </w:tc>
        <w:tc>
          <w:tcPr>
            <w:tcW w:w="1800" w:type="dxa"/>
            <w:tcBorders>
              <w:top w:val="single" w:sz="6" w:space="0" w:color="auto"/>
              <w:left w:val="single" w:sz="6" w:space="0" w:color="auto"/>
              <w:bottom w:val="single" w:sz="6" w:space="0" w:color="auto"/>
              <w:right w:val="single" w:sz="6" w:space="0" w:color="auto"/>
            </w:tcBorders>
          </w:tcPr>
          <w:p w14:paraId="4CD8F8E8" w14:textId="77777777" w:rsidR="00C159E8" w:rsidRPr="009F7B05" w:rsidRDefault="00C159E8">
            <w:pPr>
              <w:widowControl w:val="0"/>
              <w:autoSpaceDE w:val="0"/>
              <w:autoSpaceDN w:val="0"/>
              <w:adjustRightInd w:val="0"/>
              <w:jc w:val="right"/>
            </w:pPr>
            <w:r w:rsidRPr="009F7B05">
              <w:t>$5,436,402</w:t>
            </w:r>
          </w:p>
        </w:tc>
        <w:tc>
          <w:tcPr>
            <w:tcW w:w="1080" w:type="dxa"/>
            <w:tcBorders>
              <w:top w:val="single" w:sz="6" w:space="0" w:color="auto"/>
              <w:left w:val="single" w:sz="6" w:space="0" w:color="auto"/>
              <w:bottom w:val="single" w:sz="6" w:space="0" w:color="auto"/>
              <w:right w:val="single" w:sz="6" w:space="0" w:color="auto"/>
            </w:tcBorders>
          </w:tcPr>
          <w:p w14:paraId="3AD1A7E2" w14:textId="77777777" w:rsidR="00C159E8" w:rsidRPr="009F7B05" w:rsidRDefault="00C159E8">
            <w:pPr>
              <w:widowControl w:val="0"/>
              <w:autoSpaceDE w:val="0"/>
              <w:autoSpaceDN w:val="0"/>
              <w:adjustRightInd w:val="0"/>
              <w:jc w:val="right"/>
            </w:pPr>
            <w:r w:rsidRPr="009F7B05">
              <w:t>$3.13</w:t>
            </w:r>
          </w:p>
        </w:tc>
      </w:tr>
      <w:tr w:rsidR="009F7B05" w14:paraId="7E621EAC" w14:textId="77777777" w:rsidTr="009F7B05">
        <w:trPr>
          <w:trHeight w:val="240"/>
        </w:trPr>
        <w:tc>
          <w:tcPr>
            <w:tcW w:w="3690" w:type="dxa"/>
            <w:tcBorders>
              <w:top w:val="single" w:sz="6" w:space="0" w:color="auto"/>
              <w:left w:val="single" w:sz="6" w:space="0" w:color="auto"/>
              <w:bottom w:val="single" w:sz="6" w:space="0" w:color="auto"/>
              <w:right w:val="single" w:sz="6" w:space="0" w:color="auto"/>
            </w:tcBorders>
          </w:tcPr>
          <w:p w14:paraId="7BCFD6FC" w14:textId="77777777" w:rsidR="00C159E8" w:rsidRPr="009F7B05" w:rsidRDefault="00C159E8" w:rsidP="009F7B05">
            <w:pPr>
              <w:widowControl w:val="0"/>
              <w:autoSpaceDE w:val="0"/>
              <w:autoSpaceDN w:val="0"/>
              <w:adjustRightInd w:val="0"/>
            </w:pPr>
            <w:r w:rsidRPr="009F7B05">
              <w:t>Salem Public Library</w:t>
            </w:r>
          </w:p>
        </w:tc>
        <w:tc>
          <w:tcPr>
            <w:tcW w:w="1260" w:type="dxa"/>
            <w:tcBorders>
              <w:top w:val="single" w:sz="6" w:space="0" w:color="auto"/>
              <w:left w:val="single" w:sz="6" w:space="0" w:color="auto"/>
              <w:bottom w:val="single" w:sz="6" w:space="0" w:color="auto"/>
              <w:right w:val="single" w:sz="6" w:space="0" w:color="auto"/>
            </w:tcBorders>
          </w:tcPr>
          <w:p w14:paraId="6F777BAD" w14:textId="77777777" w:rsidR="00C159E8" w:rsidRPr="009F7B05" w:rsidRDefault="00C159E8">
            <w:pPr>
              <w:widowControl w:val="0"/>
              <w:autoSpaceDE w:val="0"/>
              <w:autoSpaceDN w:val="0"/>
              <w:adjustRightInd w:val="0"/>
              <w:jc w:val="right"/>
            </w:pPr>
            <w:r w:rsidRPr="009F7B05">
              <w:t>235,256</w:t>
            </w:r>
          </w:p>
        </w:tc>
        <w:tc>
          <w:tcPr>
            <w:tcW w:w="1260" w:type="dxa"/>
            <w:tcBorders>
              <w:top w:val="single" w:sz="6" w:space="0" w:color="auto"/>
              <w:left w:val="single" w:sz="6" w:space="0" w:color="auto"/>
              <w:bottom w:val="single" w:sz="6" w:space="0" w:color="auto"/>
              <w:right w:val="single" w:sz="6" w:space="0" w:color="auto"/>
            </w:tcBorders>
          </w:tcPr>
          <w:p w14:paraId="55D09F0C" w14:textId="77777777" w:rsidR="00C159E8" w:rsidRPr="009F7B05" w:rsidRDefault="00C159E8">
            <w:pPr>
              <w:widowControl w:val="0"/>
              <w:autoSpaceDE w:val="0"/>
              <w:autoSpaceDN w:val="0"/>
              <w:adjustRightInd w:val="0"/>
              <w:jc w:val="right"/>
            </w:pPr>
            <w:r w:rsidRPr="009F7B05">
              <w:t>1,201,294</w:t>
            </w:r>
          </w:p>
        </w:tc>
        <w:tc>
          <w:tcPr>
            <w:tcW w:w="1080" w:type="dxa"/>
            <w:tcBorders>
              <w:top w:val="single" w:sz="6" w:space="0" w:color="auto"/>
              <w:left w:val="single" w:sz="6" w:space="0" w:color="auto"/>
              <w:bottom w:val="single" w:sz="6" w:space="0" w:color="auto"/>
              <w:right w:val="single" w:sz="6" w:space="0" w:color="auto"/>
            </w:tcBorders>
          </w:tcPr>
          <w:p w14:paraId="3F726B4C" w14:textId="77777777" w:rsidR="00C159E8" w:rsidRPr="009F7B05" w:rsidRDefault="00C159E8">
            <w:pPr>
              <w:widowControl w:val="0"/>
              <w:autoSpaceDE w:val="0"/>
              <w:autoSpaceDN w:val="0"/>
              <w:adjustRightInd w:val="0"/>
              <w:jc w:val="right"/>
            </w:pPr>
            <w:r w:rsidRPr="009F7B05">
              <w:t>106,627</w:t>
            </w:r>
          </w:p>
        </w:tc>
        <w:tc>
          <w:tcPr>
            <w:tcW w:w="1260" w:type="dxa"/>
            <w:tcBorders>
              <w:top w:val="single" w:sz="6" w:space="0" w:color="auto"/>
              <w:left w:val="single" w:sz="6" w:space="0" w:color="auto"/>
              <w:bottom w:val="single" w:sz="6" w:space="0" w:color="auto"/>
              <w:right w:val="single" w:sz="6" w:space="0" w:color="auto"/>
            </w:tcBorders>
          </w:tcPr>
          <w:p w14:paraId="238B1795" w14:textId="77777777" w:rsidR="00C159E8" w:rsidRPr="009F7B05" w:rsidRDefault="00C159E8">
            <w:pPr>
              <w:widowControl w:val="0"/>
              <w:autoSpaceDE w:val="0"/>
              <w:autoSpaceDN w:val="0"/>
              <w:adjustRightInd w:val="0"/>
              <w:jc w:val="right"/>
            </w:pPr>
            <w:r w:rsidRPr="009F7B05">
              <w:t>100,693</w:t>
            </w:r>
          </w:p>
        </w:tc>
        <w:tc>
          <w:tcPr>
            <w:tcW w:w="1260" w:type="dxa"/>
            <w:tcBorders>
              <w:top w:val="single" w:sz="6" w:space="0" w:color="auto"/>
              <w:left w:val="single" w:sz="6" w:space="0" w:color="auto"/>
              <w:bottom w:val="single" w:sz="6" w:space="0" w:color="auto"/>
              <w:right w:val="single" w:sz="6" w:space="0" w:color="auto"/>
            </w:tcBorders>
          </w:tcPr>
          <w:p w14:paraId="2A1461DB" w14:textId="77777777" w:rsidR="00C159E8" w:rsidRPr="009F7B05" w:rsidRDefault="00C159E8">
            <w:pPr>
              <w:widowControl w:val="0"/>
              <w:autoSpaceDE w:val="0"/>
              <w:autoSpaceDN w:val="0"/>
              <w:adjustRightInd w:val="0"/>
              <w:jc w:val="right"/>
            </w:pPr>
            <w:r w:rsidRPr="009F7B05">
              <w:t>1,408,614</w:t>
            </w:r>
          </w:p>
        </w:tc>
        <w:tc>
          <w:tcPr>
            <w:tcW w:w="1800" w:type="dxa"/>
            <w:tcBorders>
              <w:top w:val="single" w:sz="6" w:space="0" w:color="auto"/>
              <w:left w:val="single" w:sz="6" w:space="0" w:color="auto"/>
              <w:bottom w:val="single" w:sz="6" w:space="0" w:color="auto"/>
              <w:right w:val="single" w:sz="6" w:space="0" w:color="auto"/>
            </w:tcBorders>
          </w:tcPr>
          <w:p w14:paraId="6AFAE745" w14:textId="77777777" w:rsidR="00C159E8" w:rsidRPr="009F7B05" w:rsidRDefault="00C159E8">
            <w:pPr>
              <w:widowControl w:val="0"/>
              <w:autoSpaceDE w:val="0"/>
              <w:autoSpaceDN w:val="0"/>
              <w:adjustRightInd w:val="0"/>
              <w:jc w:val="right"/>
            </w:pPr>
            <w:r w:rsidRPr="009F7B05">
              <w:t>$4,016,078</w:t>
            </w:r>
          </w:p>
        </w:tc>
        <w:tc>
          <w:tcPr>
            <w:tcW w:w="1080" w:type="dxa"/>
            <w:tcBorders>
              <w:top w:val="single" w:sz="6" w:space="0" w:color="auto"/>
              <w:left w:val="single" w:sz="6" w:space="0" w:color="auto"/>
              <w:bottom w:val="single" w:sz="6" w:space="0" w:color="auto"/>
              <w:right w:val="single" w:sz="6" w:space="0" w:color="auto"/>
            </w:tcBorders>
          </w:tcPr>
          <w:p w14:paraId="368744AB" w14:textId="77777777" w:rsidR="00C159E8" w:rsidRPr="009F7B05" w:rsidRDefault="00C159E8">
            <w:pPr>
              <w:widowControl w:val="0"/>
              <w:autoSpaceDE w:val="0"/>
              <w:autoSpaceDN w:val="0"/>
              <w:adjustRightInd w:val="0"/>
              <w:jc w:val="right"/>
            </w:pPr>
            <w:r w:rsidRPr="009F7B05">
              <w:t>$2.85</w:t>
            </w:r>
          </w:p>
        </w:tc>
      </w:tr>
      <w:tr w:rsidR="009F7B05" w14:paraId="6C8B25D3" w14:textId="77777777" w:rsidTr="009F7B05">
        <w:trPr>
          <w:trHeight w:val="240"/>
        </w:trPr>
        <w:tc>
          <w:tcPr>
            <w:tcW w:w="3690" w:type="dxa"/>
            <w:tcBorders>
              <w:top w:val="single" w:sz="6" w:space="0" w:color="auto"/>
              <w:left w:val="single" w:sz="6" w:space="0" w:color="auto"/>
              <w:bottom w:val="single" w:sz="6" w:space="0" w:color="auto"/>
              <w:right w:val="single" w:sz="6" w:space="0" w:color="auto"/>
            </w:tcBorders>
          </w:tcPr>
          <w:p w14:paraId="153FA26D" w14:textId="77777777" w:rsidR="00C159E8" w:rsidRPr="009F7B05" w:rsidRDefault="00C159E8" w:rsidP="009F7B05">
            <w:pPr>
              <w:widowControl w:val="0"/>
              <w:autoSpaceDE w:val="0"/>
              <w:autoSpaceDN w:val="0"/>
              <w:adjustRightInd w:val="0"/>
            </w:pPr>
            <w:r w:rsidRPr="009F7B05">
              <w:t>Multnomah County Library</w:t>
            </w:r>
          </w:p>
        </w:tc>
        <w:tc>
          <w:tcPr>
            <w:tcW w:w="1260" w:type="dxa"/>
            <w:tcBorders>
              <w:top w:val="single" w:sz="6" w:space="0" w:color="auto"/>
              <w:left w:val="single" w:sz="6" w:space="0" w:color="auto"/>
              <w:bottom w:val="single" w:sz="6" w:space="0" w:color="auto"/>
              <w:right w:val="single" w:sz="6" w:space="0" w:color="auto"/>
            </w:tcBorders>
          </w:tcPr>
          <w:p w14:paraId="4546DF7A" w14:textId="77777777" w:rsidR="00C159E8" w:rsidRPr="009F7B05" w:rsidRDefault="00C159E8">
            <w:pPr>
              <w:widowControl w:val="0"/>
              <w:autoSpaceDE w:val="0"/>
              <w:autoSpaceDN w:val="0"/>
              <w:adjustRightInd w:val="0"/>
              <w:jc w:val="right"/>
            </w:pPr>
            <w:r w:rsidRPr="009F7B05">
              <w:t>724,680</w:t>
            </w:r>
          </w:p>
        </w:tc>
        <w:tc>
          <w:tcPr>
            <w:tcW w:w="1260" w:type="dxa"/>
            <w:tcBorders>
              <w:top w:val="single" w:sz="6" w:space="0" w:color="auto"/>
              <w:left w:val="single" w:sz="6" w:space="0" w:color="auto"/>
              <w:bottom w:val="single" w:sz="6" w:space="0" w:color="auto"/>
              <w:right w:val="single" w:sz="6" w:space="0" w:color="auto"/>
            </w:tcBorders>
          </w:tcPr>
          <w:p w14:paraId="4AF827C8" w14:textId="77777777" w:rsidR="00C159E8" w:rsidRPr="009F7B05" w:rsidRDefault="00C159E8">
            <w:pPr>
              <w:widowControl w:val="0"/>
              <w:autoSpaceDE w:val="0"/>
              <w:autoSpaceDN w:val="0"/>
              <w:adjustRightInd w:val="0"/>
              <w:jc w:val="right"/>
            </w:pPr>
            <w:r w:rsidRPr="009F7B05">
              <w:t>22,715,292</w:t>
            </w:r>
          </w:p>
        </w:tc>
        <w:tc>
          <w:tcPr>
            <w:tcW w:w="1080" w:type="dxa"/>
            <w:tcBorders>
              <w:top w:val="single" w:sz="6" w:space="0" w:color="auto"/>
              <w:left w:val="single" w:sz="6" w:space="0" w:color="auto"/>
              <w:bottom w:val="single" w:sz="6" w:space="0" w:color="auto"/>
              <w:right w:val="single" w:sz="6" w:space="0" w:color="auto"/>
            </w:tcBorders>
          </w:tcPr>
          <w:p w14:paraId="2D1B030B" w14:textId="77777777" w:rsidR="00C159E8" w:rsidRPr="009F7B05" w:rsidRDefault="00C159E8">
            <w:pPr>
              <w:widowControl w:val="0"/>
              <w:autoSpaceDE w:val="0"/>
              <w:autoSpaceDN w:val="0"/>
              <w:adjustRightInd w:val="0"/>
              <w:jc w:val="right"/>
            </w:pPr>
            <w:r w:rsidRPr="009F7B05">
              <w:t>785,009</w:t>
            </w:r>
          </w:p>
        </w:tc>
        <w:tc>
          <w:tcPr>
            <w:tcW w:w="1260" w:type="dxa"/>
            <w:tcBorders>
              <w:top w:val="single" w:sz="6" w:space="0" w:color="auto"/>
              <w:left w:val="single" w:sz="6" w:space="0" w:color="auto"/>
              <w:bottom w:val="single" w:sz="6" w:space="0" w:color="auto"/>
              <w:right w:val="single" w:sz="6" w:space="0" w:color="auto"/>
            </w:tcBorders>
          </w:tcPr>
          <w:p w14:paraId="0050793E" w14:textId="77777777" w:rsidR="00C159E8" w:rsidRPr="009F7B05" w:rsidRDefault="00C159E8">
            <w:pPr>
              <w:widowControl w:val="0"/>
              <w:autoSpaceDE w:val="0"/>
              <w:autoSpaceDN w:val="0"/>
              <w:adjustRightInd w:val="0"/>
              <w:jc w:val="right"/>
            </w:pPr>
            <w:r w:rsidRPr="009F7B05">
              <w:t>321,415</w:t>
            </w:r>
          </w:p>
        </w:tc>
        <w:tc>
          <w:tcPr>
            <w:tcW w:w="1260" w:type="dxa"/>
            <w:tcBorders>
              <w:top w:val="single" w:sz="6" w:space="0" w:color="auto"/>
              <w:left w:val="single" w:sz="6" w:space="0" w:color="auto"/>
              <w:bottom w:val="single" w:sz="6" w:space="0" w:color="auto"/>
              <w:right w:val="single" w:sz="6" w:space="0" w:color="auto"/>
            </w:tcBorders>
          </w:tcPr>
          <w:p w14:paraId="2A47F480" w14:textId="77777777" w:rsidR="00C159E8" w:rsidRPr="009F7B05" w:rsidRDefault="00C159E8">
            <w:pPr>
              <w:widowControl w:val="0"/>
              <w:autoSpaceDE w:val="0"/>
              <w:autoSpaceDN w:val="0"/>
              <w:adjustRightInd w:val="0"/>
              <w:jc w:val="right"/>
            </w:pPr>
            <w:r w:rsidRPr="009F7B05">
              <w:t>23,821,716</w:t>
            </w:r>
          </w:p>
        </w:tc>
        <w:tc>
          <w:tcPr>
            <w:tcW w:w="1800" w:type="dxa"/>
            <w:tcBorders>
              <w:top w:val="single" w:sz="6" w:space="0" w:color="auto"/>
              <w:left w:val="single" w:sz="6" w:space="0" w:color="auto"/>
              <w:bottom w:val="single" w:sz="6" w:space="0" w:color="auto"/>
              <w:right w:val="single" w:sz="6" w:space="0" w:color="auto"/>
            </w:tcBorders>
          </w:tcPr>
          <w:p w14:paraId="257B9617" w14:textId="77777777" w:rsidR="00C159E8" w:rsidRPr="009F7B05" w:rsidRDefault="00C159E8">
            <w:pPr>
              <w:widowControl w:val="0"/>
              <w:autoSpaceDE w:val="0"/>
              <w:autoSpaceDN w:val="0"/>
              <w:adjustRightInd w:val="0"/>
              <w:jc w:val="right"/>
            </w:pPr>
            <w:r w:rsidRPr="009F7B05">
              <w:t>$56,110,376</w:t>
            </w:r>
          </w:p>
        </w:tc>
        <w:tc>
          <w:tcPr>
            <w:tcW w:w="1080" w:type="dxa"/>
            <w:tcBorders>
              <w:top w:val="single" w:sz="6" w:space="0" w:color="auto"/>
              <w:left w:val="single" w:sz="6" w:space="0" w:color="auto"/>
              <w:bottom w:val="single" w:sz="6" w:space="0" w:color="auto"/>
              <w:right w:val="single" w:sz="6" w:space="0" w:color="auto"/>
            </w:tcBorders>
          </w:tcPr>
          <w:p w14:paraId="1139AC14" w14:textId="77777777" w:rsidR="00C159E8" w:rsidRPr="009F7B05" w:rsidRDefault="00C159E8">
            <w:pPr>
              <w:widowControl w:val="0"/>
              <w:autoSpaceDE w:val="0"/>
              <w:autoSpaceDN w:val="0"/>
              <w:adjustRightInd w:val="0"/>
              <w:jc w:val="right"/>
            </w:pPr>
            <w:r w:rsidRPr="009F7B05">
              <w:t>$2.36</w:t>
            </w:r>
          </w:p>
        </w:tc>
      </w:tr>
      <w:tr w:rsidR="009F7B05" w14:paraId="3EA901B1" w14:textId="77777777" w:rsidTr="009F7B05">
        <w:trPr>
          <w:trHeight w:val="260"/>
        </w:trPr>
        <w:tc>
          <w:tcPr>
            <w:tcW w:w="3690" w:type="dxa"/>
            <w:tcBorders>
              <w:top w:val="single" w:sz="6" w:space="0" w:color="auto"/>
              <w:left w:val="single" w:sz="6" w:space="0" w:color="auto"/>
              <w:bottom w:val="single" w:sz="6" w:space="0" w:color="auto"/>
              <w:right w:val="single" w:sz="6" w:space="0" w:color="auto"/>
            </w:tcBorders>
          </w:tcPr>
          <w:p w14:paraId="3136F016" w14:textId="77777777" w:rsidR="00C159E8" w:rsidRPr="009F7B05" w:rsidRDefault="00C159E8">
            <w:pPr>
              <w:widowControl w:val="0"/>
              <w:autoSpaceDE w:val="0"/>
              <w:autoSpaceDN w:val="0"/>
              <w:adjustRightInd w:val="0"/>
              <w:jc w:val="right"/>
              <w:rPr>
                <w:b/>
                <w:bCs/>
              </w:rPr>
            </w:pPr>
            <w:r w:rsidRPr="009F7B05">
              <w:rPr>
                <w:b/>
                <w:bCs/>
              </w:rPr>
              <w:t>Average</w:t>
            </w:r>
          </w:p>
        </w:tc>
        <w:tc>
          <w:tcPr>
            <w:tcW w:w="1260" w:type="dxa"/>
            <w:tcBorders>
              <w:top w:val="single" w:sz="6" w:space="0" w:color="auto"/>
              <w:left w:val="single" w:sz="6" w:space="0" w:color="auto"/>
              <w:bottom w:val="single" w:sz="6" w:space="0" w:color="auto"/>
              <w:right w:val="single" w:sz="6" w:space="0" w:color="auto"/>
            </w:tcBorders>
          </w:tcPr>
          <w:p w14:paraId="23A54D24" w14:textId="77777777" w:rsidR="00C159E8" w:rsidRPr="009F7B05" w:rsidRDefault="00C159E8">
            <w:pPr>
              <w:widowControl w:val="0"/>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14:paraId="178D2D0E" w14:textId="77777777" w:rsidR="00C159E8" w:rsidRPr="009F7B05" w:rsidRDefault="00C159E8">
            <w:pPr>
              <w:widowControl w:val="0"/>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14:paraId="1E0636CC" w14:textId="77777777" w:rsidR="00C159E8" w:rsidRPr="009F7B05" w:rsidRDefault="00C159E8">
            <w:pPr>
              <w:widowControl w:val="0"/>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14:paraId="6F70F93D" w14:textId="77777777" w:rsidR="00C159E8" w:rsidRPr="009F7B05" w:rsidRDefault="00C159E8">
            <w:pPr>
              <w:widowControl w:val="0"/>
              <w:autoSpaceDE w:val="0"/>
              <w:autoSpaceDN w:val="0"/>
              <w:adjustRightInd w:val="0"/>
            </w:pPr>
          </w:p>
        </w:tc>
        <w:tc>
          <w:tcPr>
            <w:tcW w:w="1260" w:type="dxa"/>
            <w:tcBorders>
              <w:top w:val="single" w:sz="6" w:space="0" w:color="auto"/>
              <w:left w:val="single" w:sz="6" w:space="0" w:color="auto"/>
              <w:bottom w:val="single" w:sz="6" w:space="0" w:color="auto"/>
              <w:right w:val="single" w:sz="6" w:space="0" w:color="auto"/>
            </w:tcBorders>
          </w:tcPr>
          <w:p w14:paraId="5C167DCA" w14:textId="77777777" w:rsidR="00C159E8" w:rsidRPr="009F7B05" w:rsidRDefault="00C159E8">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65E4861F" w14:textId="77777777" w:rsidR="00C159E8" w:rsidRPr="009F7B05" w:rsidRDefault="00C159E8">
            <w:pPr>
              <w:widowControl w:val="0"/>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14:paraId="0AFA4801" w14:textId="77777777" w:rsidR="00C159E8" w:rsidRPr="009F7B05" w:rsidRDefault="00C159E8">
            <w:pPr>
              <w:widowControl w:val="0"/>
              <w:autoSpaceDE w:val="0"/>
              <w:autoSpaceDN w:val="0"/>
              <w:adjustRightInd w:val="0"/>
              <w:jc w:val="right"/>
              <w:rPr>
                <w:b/>
                <w:bCs/>
              </w:rPr>
            </w:pPr>
            <w:r w:rsidRPr="009F7B05">
              <w:rPr>
                <w:b/>
                <w:bCs/>
              </w:rPr>
              <w:t>$2.63</w:t>
            </w:r>
          </w:p>
        </w:tc>
      </w:tr>
    </w:tbl>
    <w:p w14:paraId="304E65B2" w14:textId="77777777" w:rsidR="00C159E8" w:rsidRDefault="00C159E8"/>
    <w:p w14:paraId="36CC22EC" w14:textId="77777777" w:rsidR="002B6E78" w:rsidRDefault="002B6E78"/>
    <w:p w14:paraId="4857C8C8" w14:textId="693BE792" w:rsidR="00C70CFE" w:rsidRDefault="00C159E8" w:rsidP="00A03605">
      <w:pPr>
        <w:rPr>
          <w:b/>
        </w:rPr>
      </w:pPr>
      <w:r>
        <w:tab/>
      </w:r>
      <w:r w:rsidR="009C4F5C" w:rsidRPr="009C4F5C">
        <w:rPr>
          <w:b/>
        </w:rPr>
        <w:t>Table 3:  Hours of main library operations for</w:t>
      </w:r>
      <w:r w:rsidR="009C4F5C">
        <w:t xml:space="preserve"> </w:t>
      </w:r>
      <w:r w:rsidR="009C4F5C" w:rsidRPr="00C159E8">
        <w:rPr>
          <w:b/>
        </w:rPr>
        <w:t xml:space="preserve">Oregon public libraries serving populations </w:t>
      </w:r>
      <w:r w:rsidR="002B6E78">
        <w:rPr>
          <w:b/>
        </w:rPr>
        <w:t>greater tha</w:t>
      </w:r>
      <w:r w:rsidR="00FC69A1">
        <w:rPr>
          <w:b/>
        </w:rPr>
        <w:t>n 85</w:t>
      </w:r>
      <w:r w:rsidR="009C4F5C" w:rsidRPr="00C159E8">
        <w:rPr>
          <w:b/>
        </w:rPr>
        <w:t>,000</w:t>
      </w:r>
    </w:p>
    <w:tbl>
      <w:tblPr>
        <w:tblW w:w="0" w:type="auto"/>
        <w:tblInd w:w="588" w:type="dxa"/>
        <w:tblLayout w:type="fixed"/>
        <w:tblCellMar>
          <w:left w:w="54" w:type="dxa"/>
          <w:right w:w="54" w:type="dxa"/>
        </w:tblCellMar>
        <w:tblLook w:val="0000" w:firstRow="0" w:lastRow="0" w:firstColumn="0" w:lastColumn="0" w:noHBand="0" w:noVBand="0"/>
      </w:tblPr>
      <w:tblGrid>
        <w:gridCol w:w="3690"/>
        <w:gridCol w:w="1260"/>
        <w:gridCol w:w="1800"/>
        <w:gridCol w:w="1800"/>
        <w:gridCol w:w="1710"/>
        <w:gridCol w:w="1710"/>
      </w:tblGrid>
      <w:tr w:rsidR="001D5AA6" w:rsidRPr="009F7B05" w14:paraId="7931C21A" w14:textId="77777777" w:rsidTr="002B6E78">
        <w:trPr>
          <w:trHeight w:val="642"/>
        </w:trPr>
        <w:tc>
          <w:tcPr>
            <w:tcW w:w="3690" w:type="dxa"/>
            <w:tcBorders>
              <w:top w:val="single" w:sz="6" w:space="0" w:color="auto"/>
              <w:left w:val="single" w:sz="6" w:space="0" w:color="auto"/>
              <w:bottom w:val="single" w:sz="6" w:space="0" w:color="auto"/>
              <w:right w:val="single" w:sz="6" w:space="0" w:color="auto"/>
            </w:tcBorders>
          </w:tcPr>
          <w:p w14:paraId="633D5887" w14:textId="77777777" w:rsidR="001D5AA6" w:rsidRPr="009F7B05" w:rsidRDefault="001D5AA6" w:rsidP="009C4F5C">
            <w:pPr>
              <w:widowControl w:val="0"/>
              <w:autoSpaceDE w:val="0"/>
              <w:autoSpaceDN w:val="0"/>
              <w:adjustRightInd w:val="0"/>
              <w:jc w:val="right"/>
              <w:rPr>
                <w:b/>
                <w:bCs/>
              </w:rPr>
            </w:pPr>
          </w:p>
        </w:tc>
        <w:tc>
          <w:tcPr>
            <w:tcW w:w="1260" w:type="dxa"/>
            <w:tcBorders>
              <w:top w:val="single" w:sz="6" w:space="0" w:color="auto"/>
              <w:left w:val="single" w:sz="6" w:space="0" w:color="auto"/>
              <w:bottom w:val="single" w:sz="6" w:space="0" w:color="auto"/>
              <w:right w:val="single" w:sz="6" w:space="0" w:color="auto"/>
            </w:tcBorders>
          </w:tcPr>
          <w:p w14:paraId="437A2D07" w14:textId="77777777" w:rsidR="001D5AA6" w:rsidRPr="009F7B05" w:rsidRDefault="001D5AA6" w:rsidP="009C4F5C">
            <w:pPr>
              <w:widowControl w:val="0"/>
              <w:autoSpaceDE w:val="0"/>
              <w:autoSpaceDN w:val="0"/>
              <w:adjustRightInd w:val="0"/>
              <w:jc w:val="right"/>
              <w:rPr>
                <w:b/>
                <w:bCs/>
              </w:rPr>
            </w:pPr>
            <w:r w:rsidRPr="009F7B05">
              <w:rPr>
                <w:b/>
                <w:bCs/>
              </w:rPr>
              <w:t>Population served</w:t>
            </w:r>
          </w:p>
        </w:tc>
        <w:tc>
          <w:tcPr>
            <w:tcW w:w="1800" w:type="dxa"/>
            <w:tcBorders>
              <w:top w:val="single" w:sz="6" w:space="0" w:color="auto"/>
              <w:left w:val="single" w:sz="6" w:space="0" w:color="auto"/>
              <w:bottom w:val="single" w:sz="6" w:space="0" w:color="auto"/>
              <w:right w:val="single" w:sz="6" w:space="0" w:color="auto"/>
            </w:tcBorders>
          </w:tcPr>
          <w:p w14:paraId="1E157F7A" w14:textId="41BE4D7E" w:rsidR="001D5AA6" w:rsidRDefault="001D5AA6" w:rsidP="009C4F5C">
            <w:pPr>
              <w:widowControl w:val="0"/>
              <w:autoSpaceDE w:val="0"/>
              <w:autoSpaceDN w:val="0"/>
              <w:adjustRightInd w:val="0"/>
              <w:jc w:val="right"/>
              <w:rPr>
                <w:b/>
                <w:bCs/>
              </w:rPr>
            </w:pPr>
            <w:r>
              <w:rPr>
                <w:b/>
                <w:bCs/>
              </w:rPr>
              <w:t>Number of branches</w:t>
            </w:r>
          </w:p>
        </w:tc>
        <w:tc>
          <w:tcPr>
            <w:tcW w:w="1800" w:type="dxa"/>
            <w:tcBorders>
              <w:top w:val="single" w:sz="6" w:space="0" w:color="auto"/>
              <w:left w:val="single" w:sz="6" w:space="0" w:color="auto"/>
              <w:bottom w:val="single" w:sz="6" w:space="0" w:color="auto"/>
              <w:right w:val="single" w:sz="6" w:space="0" w:color="auto"/>
            </w:tcBorders>
          </w:tcPr>
          <w:p w14:paraId="6DC9F918" w14:textId="3CAFC0FA" w:rsidR="001D5AA6" w:rsidRPr="009F7B05" w:rsidRDefault="001D5AA6" w:rsidP="009C4F5C">
            <w:pPr>
              <w:widowControl w:val="0"/>
              <w:autoSpaceDE w:val="0"/>
              <w:autoSpaceDN w:val="0"/>
              <w:adjustRightInd w:val="0"/>
              <w:jc w:val="right"/>
              <w:rPr>
                <w:b/>
                <w:bCs/>
              </w:rPr>
            </w:pPr>
            <w:r>
              <w:rPr>
                <w:b/>
                <w:bCs/>
              </w:rPr>
              <w:t>Weekly hours of operation of main library</w:t>
            </w:r>
          </w:p>
        </w:tc>
        <w:tc>
          <w:tcPr>
            <w:tcW w:w="1710" w:type="dxa"/>
            <w:tcBorders>
              <w:top w:val="single" w:sz="6" w:space="0" w:color="auto"/>
              <w:left w:val="single" w:sz="6" w:space="0" w:color="auto"/>
              <w:bottom w:val="single" w:sz="6" w:space="0" w:color="auto"/>
              <w:right w:val="single" w:sz="6" w:space="0" w:color="auto"/>
            </w:tcBorders>
          </w:tcPr>
          <w:p w14:paraId="3863DF67" w14:textId="2655B99C" w:rsidR="001D5AA6" w:rsidRPr="009F7B05" w:rsidRDefault="001D5AA6" w:rsidP="009C4F5C">
            <w:pPr>
              <w:widowControl w:val="0"/>
              <w:autoSpaceDE w:val="0"/>
              <w:autoSpaceDN w:val="0"/>
              <w:adjustRightInd w:val="0"/>
              <w:jc w:val="right"/>
              <w:rPr>
                <w:b/>
                <w:bCs/>
              </w:rPr>
            </w:pPr>
            <w:r>
              <w:rPr>
                <w:b/>
                <w:bCs/>
              </w:rPr>
              <w:t>Public services hours</w:t>
            </w:r>
          </w:p>
        </w:tc>
        <w:tc>
          <w:tcPr>
            <w:tcW w:w="1710" w:type="dxa"/>
            <w:tcBorders>
              <w:top w:val="single" w:sz="6" w:space="0" w:color="auto"/>
              <w:left w:val="single" w:sz="6" w:space="0" w:color="auto"/>
              <w:bottom w:val="single" w:sz="6" w:space="0" w:color="auto"/>
              <w:right w:val="single" w:sz="6" w:space="0" w:color="auto"/>
            </w:tcBorders>
          </w:tcPr>
          <w:p w14:paraId="7865EC93" w14:textId="39BA3A85" w:rsidR="001D5AA6" w:rsidRPr="009F7B05" w:rsidRDefault="001D5AA6" w:rsidP="009C4F5C">
            <w:pPr>
              <w:widowControl w:val="0"/>
              <w:autoSpaceDE w:val="0"/>
              <w:autoSpaceDN w:val="0"/>
              <w:adjustRightInd w:val="0"/>
              <w:jc w:val="right"/>
              <w:rPr>
                <w:b/>
                <w:bCs/>
              </w:rPr>
            </w:pPr>
            <w:r w:rsidRPr="009F7B05">
              <w:rPr>
                <w:b/>
                <w:bCs/>
              </w:rPr>
              <w:t>Cost Per Service Unit</w:t>
            </w:r>
          </w:p>
        </w:tc>
      </w:tr>
      <w:tr w:rsidR="001D5AA6" w:rsidRPr="009F7B05" w14:paraId="1CB87893" w14:textId="77777777" w:rsidTr="002B6E78">
        <w:trPr>
          <w:trHeight w:val="255"/>
        </w:trPr>
        <w:tc>
          <w:tcPr>
            <w:tcW w:w="3690" w:type="dxa"/>
            <w:tcBorders>
              <w:top w:val="single" w:sz="6" w:space="0" w:color="auto"/>
              <w:left w:val="single" w:sz="6" w:space="0" w:color="auto"/>
              <w:bottom w:val="single" w:sz="6" w:space="0" w:color="auto"/>
              <w:right w:val="single" w:sz="6" w:space="0" w:color="auto"/>
            </w:tcBorders>
          </w:tcPr>
          <w:p w14:paraId="04F065A5" w14:textId="77777777" w:rsidR="001D5AA6" w:rsidRPr="009F7B05" w:rsidRDefault="001D5AA6" w:rsidP="009C4F5C">
            <w:pPr>
              <w:widowControl w:val="0"/>
              <w:autoSpaceDE w:val="0"/>
              <w:autoSpaceDN w:val="0"/>
              <w:adjustRightInd w:val="0"/>
            </w:pPr>
            <w:r w:rsidRPr="009F7B05">
              <w:t>Corvallis-Benton Co. Public Library</w:t>
            </w:r>
          </w:p>
        </w:tc>
        <w:tc>
          <w:tcPr>
            <w:tcW w:w="1260" w:type="dxa"/>
            <w:tcBorders>
              <w:top w:val="single" w:sz="6" w:space="0" w:color="auto"/>
              <w:left w:val="single" w:sz="6" w:space="0" w:color="auto"/>
              <w:bottom w:val="single" w:sz="6" w:space="0" w:color="auto"/>
              <w:right w:val="single" w:sz="6" w:space="0" w:color="auto"/>
            </w:tcBorders>
          </w:tcPr>
          <w:p w14:paraId="15782AB5" w14:textId="77777777" w:rsidR="001D5AA6" w:rsidRPr="009F7B05" w:rsidRDefault="001D5AA6" w:rsidP="009C4F5C">
            <w:pPr>
              <w:widowControl w:val="0"/>
              <w:autoSpaceDE w:val="0"/>
              <w:autoSpaceDN w:val="0"/>
              <w:adjustRightInd w:val="0"/>
              <w:jc w:val="right"/>
            </w:pPr>
            <w:r w:rsidRPr="009F7B05">
              <w:t>86,725</w:t>
            </w:r>
          </w:p>
        </w:tc>
        <w:tc>
          <w:tcPr>
            <w:tcW w:w="1800" w:type="dxa"/>
            <w:tcBorders>
              <w:top w:val="single" w:sz="6" w:space="0" w:color="auto"/>
              <w:left w:val="single" w:sz="6" w:space="0" w:color="auto"/>
              <w:bottom w:val="single" w:sz="6" w:space="0" w:color="auto"/>
              <w:right w:val="single" w:sz="6" w:space="0" w:color="auto"/>
            </w:tcBorders>
          </w:tcPr>
          <w:p w14:paraId="51B36E59" w14:textId="276863FB" w:rsidR="001D5AA6" w:rsidRDefault="001D5AA6" w:rsidP="009C4F5C">
            <w:pPr>
              <w:widowControl w:val="0"/>
              <w:autoSpaceDE w:val="0"/>
              <w:autoSpaceDN w:val="0"/>
              <w:adjustRightInd w:val="0"/>
              <w:jc w:val="right"/>
            </w:pPr>
            <w:r>
              <w:t>3</w:t>
            </w:r>
          </w:p>
        </w:tc>
        <w:tc>
          <w:tcPr>
            <w:tcW w:w="1800" w:type="dxa"/>
            <w:tcBorders>
              <w:top w:val="single" w:sz="6" w:space="0" w:color="auto"/>
              <w:left w:val="single" w:sz="6" w:space="0" w:color="auto"/>
              <w:bottom w:val="single" w:sz="6" w:space="0" w:color="auto"/>
              <w:right w:val="single" w:sz="6" w:space="0" w:color="auto"/>
            </w:tcBorders>
          </w:tcPr>
          <w:p w14:paraId="2D238EB9" w14:textId="39C83C05" w:rsidR="001D5AA6" w:rsidRPr="009F7B05" w:rsidRDefault="001D5AA6" w:rsidP="009C4F5C">
            <w:pPr>
              <w:widowControl w:val="0"/>
              <w:autoSpaceDE w:val="0"/>
              <w:autoSpaceDN w:val="0"/>
              <w:adjustRightInd w:val="0"/>
              <w:jc w:val="right"/>
            </w:pPr>
            <w:r>
              <w:t>69</w:t>
            </w:r>
          </w:p>
        </w:tc>
        <w:tc>
          <w:tcPr>
            <w:tcW w:w="1710" w:type="dxa"/>
            <w:tcBorders>
              <w:top w:val="single" w:sz="6" w:space="0" w:color="auto"/>
              <w:left w:val="single" w:sz="6" w:space="0" w:color="auto"/>
              <w:bottom w:val="single" w:sz="6" w:space="0" w:color="auto"/>
              <w:right w:val="single" w:sz="6" w:space="0" w:color="auto"/>
            </w:tcBorders>
          </w:tcPr>
          <w:p w14:paraId="091B1ED8" w14:textId="6A46F9E6" w:rsidR="001D5AA6" w:rsidRPr="00FB6FF6" w:rsidRDefault="00FB6FF6" w:rsidP="009C4F5C">
            <w:pPr>
              <w:widowControl w:val="0"/>
              <w:autoSpaceDE w:val="0"/>
              <w:autoSpaceDN w:val="0"/>
              <w:adjustRightInd w:val="0"/>
              <w:jc w:val="right"/>
            </w:pPr>
            <w:r w:rsidRPr="00FB6FF6">
              <w:t>9.468</w:t>
            </w:r>
          </w:p>
        </w:tc>
        <w:tc>
          <w:tcPr>
            <w:tcW w:w="1710" w:type="dxa"/>
            <w:tcBorders>
              <w:top w:val="single" w:sz="6" w:space="0" w:color="auto"/>
              <w:left w:val="single" w:sz="6" w:space="0" w:color="auto"/>
              <w:bottom w:val="single" w:sz="6" w:space="0" w:color="auto"/>
              <w:right w:val="single" w:sz="6" w:space="0" w:color="auto"/>
            </w:tcBorders>
          </w:tcPr>
          <w:p w14:paraId="48270A07" w14:textId="6A7E449D" w:rsidR="001D5AA6" w:rsidRPr="00FB6FF6" w:rsidRDefault="001D5AA6" w:rsidP="009C4F5C">
            <w:pPr>
              <w:widowControl w:val="0"/>
              <w:autoSpaceDE w:val="0"/>
              <w:autoSpaceDN w:val="0"/>
              <w:adjustRightInd w:val="0"/>
              <w:jc w:val="right"/>
            </w:pPr>
            <w:r w:rsidRPr="00FB6FF6">
              <w:t>$3.26</w:t>
            </w:r>
          </w:p>
        </w:tc>
      </w:tr>
      <w:tr w:rsidR="001D5AA6" w:rsidRPr="009F7B05" w14:paraId="24EBF466" w14:textId="77777777" w:rsidTr="002B6E78">
        <w:trPr>
          <w:trHeight w:val="240"/>
        </w:trPr>
        <w:tc>
          <w:tcPr>
            <w:tcW w:w="3690" w:type="dxa"/>
            <w:tcBorders>
              <w:top w:val="single" w:sz="6" w:space="0" w:color="auto"/>
              <w:left w:val="single" w:sz="6" w:space="0" w:color="auto"/>
              <w:bottom w:val="single" w:sz="6" w:space="0" w:color="auto"/>
              <w:right w:val="single" w:sz="6" w:space="0" w:color="auto"/>
            </w:tcBorders>
          </w:tcPr>
          <w:p w14:paraId="6BF6648F" w14:textId="77777777" w:rsidR="001D5AA6" w:rsidRPr="009F7B05" w:rsidRDefault="001D5AA6" w:rsidP="009C4F5C">
            <w:pPr>
              <w:widowControl w:val="0"/>
              <w:autoSpaceDE w:val="0"/>
              <w:autoSpaceDN w:val="0"/>
              <w:adjustRightInd w:val="0"/>
            </w:pPr>
            <w:r w:rsidRPr="009F7B05">
              <w:t>Douglas County Library System</w:t>
            </w:r>
          </w:p>
        </w:tc>
        <w:tc>
          <w:tcPr>
            <w:tcW w:w="1260" w:type="dxa"/>
            <w:tcBorders>
              <w:top w:val="single" w:sz="6" w:space="0" w:color="auto"/>
              <w:left w:val="single" w:sz="6" w:space="0" w:color="auto"/>
              <w:bottom w:val="single" w:sz="6" w:space="0" w:color="auto"/>
              <w:right w:val="single" w:sz="6" w:space="0" w:color="auto"/>
            </w:tcBorders>
          </w:tcPr>
          <w:p w14:paraId="667CB4E3" w14:textId="77777777" w:rsidR="001D5AA6" w:rsidRPr="009F7B05" w:rsidRDefault="001D5AA6" w:rsidP="009C4F5C">
            <w:pPr>
              <w:widowControl w:val="0"/>
              <w:autoSpaceDE w:val="0"/>
              <w:autoSpaceDN w:val="0"/>
              <w:adjustRightInd w:val="0"/>
              <w:jc w:val="right"/>
            </w:pPr>
            <w:r w:rsidRPr="009F7B05">
              <w:t>105,395</w:t>
            </w:r>
          </w:p>
        </w:tc>
        <w:tc>
          <w:tcPr>
            <w:tcW w:w="1800" w:type="dxa"/>
            <w:tcBorders>
              <w:top w:val="single" w:sz="6" w:space="0" w:color="auto"/>
              <w:left w:val="single" w:sz="6" w:space="0" w:color="auto"/>
              <w:bottom w:val="single" w:sz="6" w:space="0" w:color="auto"/>
              <w:right w:val="single" w:sz="6" w:space="0" w:color="auto"/>
            </w:tcBorders>
          </w:tcPr>
          <w:p w14:paraId="05FC611A" w14:textId="668BBD6E" w:rsidR="001D5AA6" w:rsidRDefault="001D5AA6" w:rsidP="009C4F5C">
            <w:pPr>
              <w:widowControl w:val="0"/>
              <w:autoSpaceDE w:val="0"/>
              <w:autoSpaceDN w:val="0"/>
              <w:adjustRightInd w:val="0"/>
              <w:jc w:val="right"/>
            </w:pPr>
            <w:r>
              <w:t>10</w:t>
            </w:r>
          </w:p>
        </w:tc>
        <w:tc>
          <w:tcPr>
            <w:tcW w:w="1800" w:type="dxa"/>
            <w:tcBorders>
              <w:top w:val="single" w:sz="6" w:space="0" w:color="auto"/>
              <w:left w:val="single" w:sz="6" w:space="0" w:color="auto"/>
              <w:bottom w:val="single" w:sz="6" w:space="0" w:color="auto"/>
              <w:right w:val="single" w:sz="6" w:space="0" w:color="auto"/>
            </w:tcBorders>
          </w:tcPr>
          <w:p w14:paraId="397FC369" w14:textId="6B9D20B3" w:rsidR="001D5AA6" w:rsidRPr="009F7B05" w:rsidRDefault="001D5AA6" w:rsidP="009C4F5C">
            <w:pPr>
              <w:widowControl w:val="0"/>
              <w:autoSpaceDE w:val="0"/>
              <w:autoSpaceDN w:val="0"/>
              <w:adjustRightInd w:val="0"/>
              <w:jc w:val="right"/>
            </w:pPr>
            <w:r>
              <w:t>40</w:t>
            </w:r>
          </w:p>
        </w:tc>
        <w:tc>
          <w:tcPr>
            <w:tcW w:w="1710" w:type="dxa"/>
            <w:tcBorders>
              <w:top w:val="single" w:sz="6" w:space="0" w:color="auto"/>
              <w:left w:val="single" w:sz="6" w:space="0" w:color="auto"/>
              <w:bottom w:val="single" w:sz="6" w:space="0" w:color="auto"/>
              <w:right w:val="single" w:sz="6" w:space="0" w:color="auto"/>
            </w:tcBorders>
          </w:tcPr>
          <w:p w14:paraId="38365435" w14:textId="68982BF5" w:rsidR="001D5AA6" w:rsidRPr="00FB6FF6" w:rsidRDefault="001D5AA6" w:rsidP="009C4F5C">
            <w:pPr>
              <w:widowControl w:val="0"/>
              <w:autoSpaceDE w:val="0"/>
              <w:autoSpaceDN w:val="0"/>
              <w:adjustRightInd w:val="0"/>
              <w:jc w:val="right"/>
            </w:pPr>
            <w:r w:rsidRPr="00FB6FF6">
              <w:t>16,103</w:t>
            </w:r>
          </w:p>
        </w:tc>
        <w:tc>
          <w:tcPr>
            <w:tcW w:w="1710" w:type="dxa"/>
            <w:tcBorders>
              <w:top w:val="single" w:sz="6" w:space="0" w:color="auto"/>
              <w:left w:val="single" w:sz="6" w:space="0" w:color="auto"/>
              <w:bottom w:val="single" w:sz="6" w:space="0" w:color="auto"/>
              <w:right w:val="single" w:sz="6" w:space="0" w:color="auto"/>
            </w:tcBorders>
          </w:tcPr>
          <w:p w14:paraId="7578589A" w14:textId="707AF5D8" w:rsidR="001D5AA6" w:rsidRPr="00FB6FF6" w:rsidRDefault="001D5AA6" w:rsidP="009C4F5C">
            <w:pPr>
              <w:widowControl w:val="0"/>
              <w:autoSpaceDE w:val="0"/>
              <w:autoSpaceDN w:val="0"/>
              <w:adjustRightInd w:val="0"/>
              <w:jc w:val="right"/>
            </w:pPr>
            <w:r w:rsidRPr="00FB6FF6">
              <w:t>$2.60</w:t>
            </w:r>
          </w:p>
        </w:tc>
      </w:tr>
      <w:tr w:rsidR="001D5AA6" w:rsidRPr="009F7B05" w14:paraId="3E466C1F" w14:textId="77777777" w:rsidTr="002B6E78">
        <w:trPr>
          <w:trHeight w:val="240"/>
        </w:trPr>
        <w:tc>
          <w:tcPr>
            <w:tcW w:w="3690" w:type="dxa"/>
            <w:tcBorders>
              <w:top w:val="single" w:sz="6" w:space="0" w:color="auto"/>
              <w:left w:val="single" w:sz="6" w:space="0" w:color="auto"/>
              <w:bottom w:val="single" w:sz="6" w:space="0" w:color="auto"/>
              <w:right w:val="single" w:sz="6" w:space="0" w:color="auto"/>
            </w:tcBorders>
          </w:tcPr>
          <w:p w14:paraId="0B0BA8A0" w14:textId="77777777" w:rsidR="001D5AA6" w:rsidRPr="009F7B05" w:rsidRDefault="001D5AA6" w:rsidP="009C4F5C">
            <w:pPr>
              <w:widowControl w:val="0"/>
              <w:autoSpaceDE w:val="0"/>
              <w:autoSpaceDN w:val="0"/>
              <w:adjustRightInd w:val="0"/>
            </w:pPr>
            <w:r w:rsidRPr="009F7B05">
              <w:t>Hillsboro Public Library</w:t>
            </w:r>
          </w:p>
        </w:tc>
        <w:tc>
          <w:tcPr>
            <w:tcW w:w="1260" w:type="dxa"/>
            <w:tcBorders>
              <w:top w:val="single" w:sz="6" w:space="0" w:color="auto"/>
              <w:left w:val="single" w:sz="6" w:space="0" w:color="auto"/>
              <w:bottom w:val="single" w:sz="6" w:space="0" w:color="auto"/>
              <w:right w:val="single" w:sz="6" w:space="0" w:color="auto"/>
            </w:tcBorders>
          </w:tcPr>
          <w:p w14:paraId="5950C51C" w14:textId="77777777" w:rsidR="001D5AA6" w:rsidRPr="009F7B05" w:rsidRDefault="001D5AA6" w:rsidP="009C4F5C">
            <w:pPr>
              <w:widowControl w:val="0"/>
              <w:autoSpaceDE w:val="0"/>
              <w:autoSpaceDN w:val="0"/>
              <w:adjustRightInd w:val="0"/>
              <w:jc w:val="right"/>
            </w:pPr>
            <w:r w:rsidRPr="009F7B05">
              <w:t>132,787</w:t>
            </w:r>
          </w:p>
        </w:tc>
        <w:tc>
          <w:tcPr>
            <w:tcW w:w="1800" w:type="dxa"/>
            <w:tcBorders>
              <w:top w:val="single" w:sz="6" w:space="0" w:color="auto"/>
              <w:left w:val="single" w:sz="6" w:space="0" w:color="auto"/>
              <w:bottom w:val="single" w:sz="6" w:space="0" w:color="auto"/>
              <w:right w:val="single" w:sz="6" w:space="0" w:color="auto"/>
            </w:tcBorders>
          </w:tcPr>
          <w:p w14:paraId="4B955B87" w14:textId="19EF0240" w:rsidR="001D5AA6" w:rsidRDefault="001D5AA6" w:rsidP="009C4F5C">
            <w:pPr>
              <w:widowControl w:val="0"/>
              <w:autoSpaceDE w:val="0"/>
              <w:autoSpaceDN w:val="0"/>
              <w:adjustRightInd w:val="0"/>
              <w:jc w:val="right"/>
            </w:pPr>
            <w:r>
              <w:t>1</w:t>
            </w:r>
          </w:p>
        </w:tc>
        <w:tc>
          <w:tcPr>
            <w:tcW w:w="1800" w:type="dxa"/>
            <w:tcBorders>
              <w:top w:val="single" w:sz="6" w:space="0" w:color="auto"/>
              <w:left w:val="single" w:sz="6" w:space="0" w:color="auto"/>
              <w:bottom w:val="single" w:sz="6" w:space="0" w:color="auto"/>
              <w:right w:val="single" w:sz="6" w:space="0" w:color="auto"/>
            </w:tcBorders>
          </w:tcPr>
          <w:p w14:paraId="65CD4635" w14:textId="3E25CF7A" w:rsidR="001D5AA6" w:rsidRPr="009F7B05" w:rsidRDefault="001D5AA6" w:rsidP="009C4F5C">
            <w:pPr>
              <w:widowControl w:val="0"/>
              <w:autoSpaceDE w:val="0"/>
              <w:autoSpaceDN w:val="0"/>
              <w:adjustRightInd w:val="0"/>
              <w:jc w:val="right"/>
            </w:pPr>
            <w:r>
              <w:t>64</w:t>
            </w:r>
          </w:p>
        </w:tc>
        <w:tc>
          <w:tcPr>
            <w:tcW w:w="1710" w:type="dxa"/>
            <w:tcBorders>
              <w:top w:val="single" w:sz="6" w:space="0" w:color="auto"/>
              <w:left w:val="single" w:sz="6" w:space="0" w:color="auto"/>
              <w:bottom w:val="single" w:sz="6" w:space="0" w:color="auto"/>
              <w:right w:val="single" w:sz="6" w:space="0" w:color="auto"/>
            </w:tcBorders>
          </w:tcPr>
          <w:p w14:paraId="726C1D63" w14:textId="50237E2F" w:rsidR="001D5AA6" w:rsidRPr="00FB6FF6" w:rsidRDefault="001D5AA6" w:rsidP="009C4F5C">
            <w:pPr>
              <w:widowControl w:val="0"/>
              <w:autoSpaceDE w:val="0"/>
              <w:autoSpaceDN w:val="0"/>
              <w:adjustRightInd w:val="0"/>
              <w:jc w:val="right"/>
            </w:pPr>
            <w:r w:rsidRPr="00FB6FF6">
              <w:t>5,972</w:t>
            </w:r>
          </w:p>
        </w:tc>
        <w:tc>
          <w:tcPr>
            <w:tcW w:w="1710" w:type="dxa"/>
            <w:tcBorders>
              <w:top w:val="single" w:sz="6" w:space="0" w:color="auto"/>
              <w:left w:val="single" w:sz="6" w:space="0" w:color="auto"/>
              <w:bottom w:val="single" w:sz="6" w:space="0" w:color="auto"/>
              <w:right w:val="single" w:sz="6" w:space="0" w:color="auto"/>
            </w:tcBorders>
          </w:tcPr>
          <w:p w14:paraId="0F0B4443" w14:textId="17494F19" w:rsidR="001D5AA6" w:rsidRPr="00FB6FF6" w:rsidRDefault="001D5AA6" w:rsidP="009C4F5C">
            <w:pPr>
              <w:widowControl w:val="0"/>
              <w:autoSpaceDE w:val="0"/>
              <w:autoSpaceDN w:val="0"/>
              <w:adjustRightInd w:val="0"/>
              <w:jc w:val="right"/>
            </w:pPr>
            <w:r w:rsidRPr="00FB6FF6">
              <w:t>$2.66</w:t>
            </w:r>
          </w:p>
        </w:tc>
      </w:tr>
      <w:tr w:rsidR="001D5AA6" w:rsidRPr="009F7B05" w14:paraId="0733D273" w14:textId="77777777" w:rsidTr="002B6E78">
        <w:trPr>
          <w:trHeight w:val="240"/>
        </w:trPr>
        <w:tc>
          <w:tcPr>
            <w:tcW w:w="3690" w:type="dxa"/>
            <w:tcBorders>
              <w:top w:val="single" w:sz="6" w:space="0" w:color="auto"/>
              <w:left w:val="single" w:sz="6" w:space="0" w:color="auto"/>
              <w:bottom w:val="single" w:sz="6" w:space="0" w:color="auto"/>
              <w:right w:val="single" w:sz="6" w:space="0" w:color="auto"/>
            </w:tcBorders>
          </w:tcPr>
          <w:p w14:paraId="2EAEBA6E" w14:textId="77777777" w:rsidR="001D5AA6" w:rsidRPr="009F7B05" w:rsidRDefault="001D5AA6" w:rsidP="009C4F5C">
            <w:pPr>
              <w:widowControl w:val="0"/>
              <w:autoSpaceDE w:val="0"/>
              <w:autoSpaceDN w:val="0"/>
              <w:adjustRightInd w:val="0"/>
            </w:pPr>
            <w:r w:rsidRPr="009F7B05">
              <w:t xml:space="preserve">Beaverton City Library </w:t>
            </w:r>
          </w:p>
        </w:tc>
        <w:tc>
          <w:tcPr>
            <w:tcW w:w="1260" w:type="dxa"/>
            <w:tcBorders>
              <w:top w:val="single" w:sz="6" w:space="0" w:color="auto"/>
              <w:left w:val="single" w:sz="6" w:space="0" w:color="auto"/>
              <w:bottom w:val="single" w:sz="6" w:space="0" w:color="auto"/>
              <w:right w:val="single" w:sz="6" w:space="0" w:color="auto"/>
            </w:tcBorders>
          </w:tcPr>
          <w:p w14:paraId="0032C749" w14:textId="77777777" w:rsidR="001D5AA6" w:rsidRPr="009F7B05" w:rsidRDefault="001D5AA6" w:rsidP="009C4F5C">
            <w:pPr>
              <w:widowControl w:val="0"/>
              <w:autoSpaceDE w:val="0"/>
              <w:autoSpaceDN w:val="0"/>
              <w:adjustRightInd w:val="0"/>
              <w:jc w:val="right"/>
            </w:pPr>
            <w:r w:rsidRPr="009F7B05">
              <w:t>139,008</w:t>
            </w:r>
          </w:p>
        </w:tc>
        <w:tc>
          <w:tcPr>
            <w:tcW w:w="1800" w:type="dxa"/>
            <w:tcBorders>
              <w:top w:val="single" w:sz="6" w:space="0" w:color="auto"/>
              <w:left w:val="single" w:sz="6" w:space="0" w:color="auto"/>
              <w:bottom w:val="single" w:sz="6" w:space="0" w:color="auto"/>
              <w:right w:val="single" w:sz="6" w:space="0" w:color="auto"/>
            </w:tcBorders>
          </w:tcPr>
          <w:p w14:paraId="61EBD7C5" w14:textId="01360A33" w:rsidR="001D5AA6" w:rsidRDefault="001D5AA6" w:rsidP="009C4F5C">
            <w:pPr>
              <w:widowControl w:val="0"/>
              <w:autoSpaceDE w:val="0"/>
              <w:autoSpaceDN w:val="0"/>
              <w:adjustRightInd w:val="0"/>
              <w:jc w:val="right"/>
            </w:pPr>
            <w:r>
              <w:t>1</w:t>
            </w:r>
          </w:p>
        </w:tc>
        <w:tc>
          <w:tcPr>
            <w:tcW w:w="1800" w:type="dxa"/>
            <w:tcBorders>
              <w:top w:val="single" w:sz="6" w:space="0" w:color="auto"/>
              <w:left w:val="single" w:sz="6" w:space="0" w:color="auto"/>
              <w:bottom w:val="single" w:sz="6" w:space="0" w:color="auto"/>
              <w:right w:val="single" w:sz="6" w:space="0" w:color="auto"/>
            </w:tcBorders>
          </w:tcPr>
          <w:p w14:paraId="007F1768" w14:textId="3BE52C93" w:rsidR="001D5AA6" w:rsidRPr="009F7B05" w:rsidRDefault="001D5AA6" w:rsidP="009C4F5C">
            <w:pPr>
              <w:widowControl w:val="0"/>
              <w:autoSpaceDE w:val="0"/>
              <w:autoSpaceDN w:val="0"/>
              <w:adjustRightInd w:val="0"/>
              <w:jc w:val="right"/>
            </w:pPr>
            <w:r>
              <w:t>63</w:t>
            </w:r>
          </w:p>
        </w:tc>
        <w:tc>
          <w:tcPr>
            <w:tcW w:w="1710" w:type="dxa"/>
            <w:tcBorders>
              <w:top w:val="single" w:sz="6" w:space="0" w:color="auto"/>
              <w:left w:val="single" w:sz="6" w:space="0" w:color="auto"/>
              <w:bottom w:val="single" w:sz="6" w:space="0" w:color="auto"/>
              <w:right w:val="single" w:sz="6" w:space="0" w:color="auto"/>
            </w:tcBorders>
          </w:tcPr>
          <w:p w14:paraId="612E8724" w14:textId="37A92F89" w:rsidR="001D5AA6" w:rsidRPr="00FB6FF6" w:rsidRDefault="001D5AA6" w:rsidP="009C4F5C">
            <w:pPr>
              <w:widowControl w:val="0"/>
              <w:autoSpaceDE w:val="0"/>
              <w:autoSpaceDN w:val="0"/>
              <w:adjustRightInd w:val="0"/>
              <w:jc w:val="right"/>
            </w:pPr>
            <w:r w:rsidRPr="00FB6FF6">
              <w:t>3,214</w:t>
            </w:r>
          </w:p>
        </w:tc>
        <w:tc>
          <w:tcPr>
            <w:tcW w:w="1710" w:type="dxa"/>
            <w:tcBorders>
              <w:top w:val="single" w:sz="6" w:space="0" w:color="auto"/>
              <w:left w:val="single" w:sz="6" w:space="0" w:color="auto"/>
              <w:bottom w:val="single" w:sz="6" w:space="0" w:color="auto"/>
              <w:right w:val="single" w:sz="6" w:space="0" w:color="auto"/>
            </w:tcBorders>
          </w:tcPr>
          <w:p w14:paraId="26B19F2A" w14:textId="38B05EB8" w:rsidR="001D5AA6" w:rsidRPr="00FB6FF6" w:rsidRDefault="001D5AA6" w:rsidP="009C4F5C">
            <w:pPr>
              <w:widowControl w:val="0"/>
              <w:autoSpaceDE w:val="0"/>
              <w:autoSpaceDN w:val="0"/>
              <w:adjustRightInd w:val="0"/>
              <w:jc w:val="right"/>
            </w:pPr>
            <w:r w:rsidRPr="00FB6FF6">
              <w:t>$2.38</w:t>
            </w:r>
          </w:p>
        </w:tc>
      </w:tr>
      <w:tr w:rsidR="001D5AA6" w:rsidRPr="009F7B05" w14:paraId="04201562" w14:textId="77777777" w:rsidTr="002B6E78">
        <w:trPr>
          <w:trHeight w:val="240"/>
        </w:trPr>
        <w:tc>
          <w:tcPr>
            <w:tcW w:w="3690" w:type="dxa"/>
            <w:tcBorders>
              <w:top w:val="single" w:sz="6" w:space="0" w:color="auto"/>
              <w:left w:val="single" w:sz="6" w:space="0" w:color="auto"/>
              <w:bottom w:val="single" w:sz="6" w:space="0" w:color="auto"/>
              <w:right w:val="single" w:sz="6" w:space="0" w:color="auto"/>
            </w:tcBorders>
          </w:tcPr>
          <w:p w14:paraId="6A1D29A1" w14:textId="77777777" w:rsidR="001D5AA6" w:rsidRPr="009F7B05" w:rsidRDefault="001D5AA6" w:rsidP="009C4F5C">
            <w:pPr>
              <w:widowControl w:val="0"/>
              <w:autoSpaceDE w:val="0"/>
              <w:autoSpaceDN w:val="0"/>
              <w:adjustRightInd w:val="0"/>
            </w:pPr>
            <w:r w:rsidRPr="009F7B05">
              <w:t>Eugene Public Library</w:t>
            </w:r>
          </w:p>
        </w:tc>
        <w:tc>
          <w:tcPr>
            <w:tcW w:w="1260" w:type="dxa"/>
            <w:tcBorders>
              <w:top w:val="single" w:sz="6" w:space="0" w:color="auto"/>
              <w:left w:val="single" w:sz="6" w:space="0" w:color="auto"/>
              <w:bottom w:val="single" w:sz="6" w:space="0" w:color="auto"/>
              <w:right w:val="single" w:sz="6" w:space="0" w:color="auto"/>
            </w:tcBorders>
          </w:tcPr>
          <w:p w14:paraId="7BD2EF3F" w14:textId="77777777" w:rsidR="001D5AA6" w:rsidRPr="009F7B05" w:rsidRDefault="001D5AA6" w:rsidP="009C4F5C">
            <w:pPr>
              <w:widowControl w:val="0"/>
              <w:autoSpaceDE w:val="0"/>
              <w:autoSpaceDN w:val="0"/>
              <w:adjustRightInd w:val="0"/>
              <w:jc w:val="right"/>
            </w:pPr>
            <w:r w:rsidRPr="009F7B05">
              <w:t>157,100</w:t>
            </w:r>
          </w:p>
        </w:tc>
        <w:tc>
          <w:tcPr>
            <w:tcW w:w="1800" w:type="dxa"/>
            <w:tcBorders>
              <w:top w:val="single" w:sz="6" w:space="0" w:color="auto"/>
              <w:left w:val="single" w:sz="6" w:space="0" w:color="auto"/>
              <w:bottom w:val="single" w:sz="6" w:space="0" w:color="auto"/>
              <w:right w:val="single" w:sz="6" w:space="0" w:color="auto"/>
            </w:tcBorders>
          </w:tcPr>
          <w:p w14:paraId="2F89D689" w14:textId="1131FBCE" w:rsidR="001D5AA6" w:rsidRDefault="001D5AA6" w:rsidP="009C4F5C">
            <w:pPr>
              <w:widowControl w:val="0"/>
              <w:autoSpaceDE w:val="0"/>
              <w:autoSpaceDN w:val="0"/>
              <w:adjustRightInd w:val="0"/>
              <w:jc w:val="right"/>
            </w:pPr>
            <w:r>
              <w:t>2</w:t>
            </w:r>
          </w:p>
        </w:tc>
        <w:tc>
          <w:tcPr>
            <w:tcW w:w="1800" w:type="dxa"/>
            <w:tcBorders>
              <w:top w:val="single" w:sz="6" w:space="0" w:color="auto"/>
              <w:left w:val="single" w:sz="6" w:space="0" w:color="auto"/>
              <w:bottom w:val="single" w:sz="6" w:space="0" w:color="auto"/>
              <w:right w:val="single" w:sz="6" w:space="0" w:color="auto"/>
            </w:tcBorders>
          </w:tcPr>
          <w:p w14:paraId="104083B5" w14:textId="2FC18EA3" w:rsidR="001D5AA6" w:rsidRPr="009F7B05" w:rsidRDefault="001D5AA6" w:rsidP="009C4F5C">
            <w:pPr>
              <w:widowControl w:val="0"/>
              <w:autoSpaceDE w:val="0"/>
              <w:autoSpaceDN w:val="0"/>
              <w:adjustRightInd w:val="0"/>
              <w:jc w:val="right"/>
            </w:pPr>
            <w:r>
              <w:t>64</w:t>
            </w:r>
          </w:p>
        </w:tc>
        <w:tc>
          <w:tcPr>
            <w:tcW w:w="1710" w:type="dxa"/>
            <w:tcBorders>
              <w:top w:val="single" w:sz="6" w:space="0" w:color="auto"/>
              <w:left w:val="single" w:sz="6" w:space="0" w:color="auto"/>
              <w:bottom w:val="single" w:sz="6" w:space="0" w:color="auto"/>
              <w:right w:val="single" w:sz="6" w:space="0" w:color="auto"/>
            </w:tcBorders>
          </w:tcPr>
          <w:p w14:paraId="0AE6381E" w14:textId="60B74D4E" w:rsidR="001D5AA6" w:rsidRPr="00FB6FF6" w:rsidRDefault="001D5AA6" w:rsidP="009C4F5C">
            <w:pPr>
              <w:widowControl w:val="0"/>
              <w:autoSpaceDE w:val="0"/>
              <w:autoSpaceDN w:val="0"/>
              <w:adjustRightInd w:val="0"/>
              <w:jc w:val="right"/>
            </w:pPr>
            <w:r w:rsidRPr="00FB6FF6">
              <w:t>8,956</w:t>
            </w:r>
          </w:p>
        </w:tc>
        <w:tc>
          <w:tcPr>
            <w:tcW w:w="1710" w:type="dxa"/>
            <w:tcBorders>
              <w:top w:val="single" w:sz="6" w:space="0" w:color="auto"/>
              <w:left w:val="single" w:sz="6" w:space="0" w:color="auto"/>
              <w:bottom w:val="single" w:sz="6" w:space="0" w:color="auto"/>
              <w:right w:val="single" w:sz="6" w:space="0" w:color="auto"/>
            </w:tcBorders>
          </w:tcPr>
          <w:p w14:paraId="160976D2" w14:textId="51036929" w:rsidR="001D5AA6" w:rsidRPr="00FB6FF6" w:rsidRDefault="001D5AA6" w:rsidP="009C4F5C">
            <w:pPr>
              <w:widowControl w:val="0"/>
              <w:autoSpaceDE w:val="0"/>
              <w:autoSpaceDN w:val="0"/>
              <w:adjustRightInd w:val="0"/>
              <w:jc w:val="right"/>
            </w:pPr>
            <w:r w:rsidRPr="00FB6FF6">
              <w:t>$3.61</w:t>
            </w:r>
          </w:p>
        </w:tc>
      </w:tr>
      <w:tr w:rsidR="001D5AA6" w:rsidRPr="009F7B05" w14:paraId="50104711" w14:textId="77777777" w:rsidTr="002B6E78">
        <w:trPr>
          <w:trHeight w:val="240"/>
        </w:trPr>
        <w:tc>
          <w:tcPr>
            <w:tcW w:w="3690" w:type="dxa"/>
            <w:tcBorders>
              <w:top w:val="single" w:sz="6" w:space="0" w:color="auto"/>
              <w:left w:val="single" w:sz="6" w:space="0" w:color="auto"/>
              <w:bottom w:val="single" w:sz="6" w:space="0" w:color="auto"/>
              <w:right w:val="single" w:sz="6" w:space="0" w:color="auto"/>
            </w:tcBorders>
          </w:tcPr>
          <w:p w14:paraId="5DE101D4" w14:textId="77777777" w:rsidR="001D5AA6" w:rsidRPr="009F7B05" w:rsidRDefault="001D5AA6" w:rsidP="009C4F5C">
            <w:pPr>
              <w:widowControl w:val="0"/>
              <w:autoSpaceDE w:val="0"/>
              <w:autoSpaceDN w:val="0"/>
              <w:adjustRightInd w:val="0"/>
            </w:pPr>
            <w:r w:rsidRPr="009F7B05">
              <w:t>Deschutes Public Library District</w:t>
            </w:r>
          </w:p>
        </w:tc>
        <w:tc>
          <w:tcPr>
            <w:tcW w:w="1260" w:type="dxa"/>
            <w:tcBorders>
              <w:top w:val="single" w:sz="6" w:space="0" w:color="auto"/>
              <w:left w:val="single" w:sz="6" w:space="0" w:color="auto"/>
              <w:bottom w:val="single" w:sz="6" w:space="0" w:color="auto"/>
              <w:right w:val="single" w:sz="6" w:space="0" w:color="auto"/>
            </w:tcBorders>
          </w:tcPr>
          <w:p w14:paraId="1C1008D2" w14:textId="77777777" w:rsidR="001D5AA6" w:rsidRPr="009F7B05" w:rsidRDefault="001D5AA6" w:rsidP="009C4F5C">
            <w:pPr>
              <w:widowControl w:val="0"/>
              <w:autoSpaceDE w:val="0"/>
              <w:autoSpaceDN w:val="0"/>
              <w:adjustRightInd w:val="0"/>
              <w:jc w:val="right"/>
            </w:pPr>
            <w:r w:rsidRPr="009F7B05">
              <w:t>170,705</w:t>
            </w:r>
          </w:p>
        </w:tc>
        <w:tc>
          <w:tcPr>
            <w:tcW w:w="1800" w:type="dxa"/>
            <w:tcBorders>
              <w:top w:val="single" w:sz="6" w:space="0" w:color="auto"/>
              <w:left w:val="single" w:sz="6" w:space="0" w:color="auto"/>
              <w:bottom w:val="single" w:sz="6" w:space="0" w:color="auto"/>
              <w:right w:val="single" w:sz="6" w:space="0" w:color="auto"/>
            </w:tcBorders>
          </w:tcPr>
          <w:p w14:paraId="2ACA7661" w14:textId="4595C6EF" w:rsidR="001D5AA6" w:rsidRDefault="001D5AA6" w:rsidP="009C4F5C">
            <w:pPr>
              <w:widowControl w:val="0"/>
              <w:autoSpaceDE w:val="0"/>
              <w:autoSpaceDN w:val="0"/>
              <w:adjustRightInd w:val="0"/>
              <w:jc w:val="right"/>
            </w:pPr>
            <w:r>
              <w:t>5</w:t>
            </w:r>
          </w:p>
        </w:tc>
        <w:tc>
          <w:tcPr>
            <w:tcW w:w="1800" w:type="dxa"/>
            <w:tcBorders>
              <w:top w:val="single" w:sz="6" w:space="0" w:color="auto"/>
              <w:left w:val="single" w:sz="6" w:space="0" w:color="auto"/>
              <w:bottom w:val="single" w:sz="6" w:space="0" w:color="auto"/>
              <w:right w:val="single" w:sz="6" w:space="0" w:color="auto"/>
            </w:tcBorders>
          </w:tcPr>
          <w:p w14:paraId="4C122991" w14:textId="55F81F02" w:rsidR="001D5AA6" w:rsidRPr="009F7B05" w:rsidRDefault="001D5AA6" w:rsidP="009C4F5C">
            <w:pPr>
              <w:widowControl w:val="0"/>
              <w:autoSpaceDE w:val="0"/>
              <w:autoSpaceDN w:val="0"/>
              <w:adjustRightInd w:val="0"/>
              <w:jc w:val="right"/>
            </w:pPr>
            <w:r>
              <w:t>59</w:t>
            </w:r>
          </w:p>
        </w:tc>
        <w:tc>
          <w:tcPr>
            <w:tcW w:w="1710" w:type="dxa"/>
            <w:tcBorders>
              <w:top w:val="single" w:sz="6" w:space="0" w:color="auto"/>
              <w:left w:val="single" w:sz="6" w:space="0" w:color="auto"/>
              <w:bottom w:val="single" w:sz="6" w:space="0" w:color="auto"/>
              <w:right w:val="single" w:sz="6" w:space="0" w:color="auto"/>
            </w:tcBorders>
          </w:tcPr>
          <w:p w14:paraId="4CFCE9BE" w14:textId="11166A80" w:rsidR="001D5AA6" w:rsidRPr="00FB6FF6" w:rsidRDefault="001D5AA6" w:rsidP="009C4F5C">
            <w:pPr>
              <w:widowControl w:val="0"/>
              <w:autoSpaceDE w:val="0"/>
              <w:autoSpaceDN w:val="0"/>
              <w:adjustRightInd w:val="0"/>
              <w:jc w:val="right"/>
            </w:pPr>
            <w:r w:rsidRPr="00FB6FF6">
              <w:t>18,105</w:t>
            </w:r>
          </w:p>
        </w:tc>
        <w:tc>
          <w:tcPr>
            <w:tcW w:w="1710" w:type="dxa"/>
            <w:tcBorders>
              <w:top w:val="single" w:sz="6" w:space="0" w:color="auto"/>
              <w:left w:val="single" w:sz="6" w:space="0" w:color="auto"/>
              <w:bottom w:val="single" w:sz="6" w:space="0" w:color="auto"/>
              <w:right w:val="single" w:sz="6" w:space="0" w:color="auto"/>
            </w:tcBorders>
          </w:tcPr>
          <w:p w14:paraId="6FD16B5A" w14:textId="3D0391CB" w:rsidR="001D5AA6" w:rsidRPr="00FB6FF6" w:rsidRDefault="001D5AA6" w:rsidP="009C4F5C">
            <w:pPr>
              <w:widowControl w:val="0"/>
              <w:autoSpaceDE w:val="0"/>
              <w:autoSpaceDN w:val="0"/>
              <w:adjustRightInd w:val="0"/>
              <w:jc w:val="right"/>
            </w:pPr>
            <w:r w:rsidRPr="00FB6FF6">
              <w:t>$3.29</w:t>
            </w:r>
          </w:p>
        </w:tc>
      </w:tr>
      <w:tr w:rsidR="001D5AA6" w:rsidRPr="009F7B05" w14:paraId="39BD7D7C" w14:textId="77777777" w:rsidTr="002B6E78">
        <w:trPr>
          <w:trHeight w:val="240"/>
        </w:trPr>
        <w:tc>
          <w:tcPr>
            <w:tcW w:w="3690" w:type="dxa"/>
            <w:tcBorders>
              <w:top w:val="single" w:sz="6" w:space="0" w:color="auto"/>
              <w:left w:val="single" w:sz="6" w:space="0" w:color="auto"/>
              <w:bottom w:val="single" w:sz="6" w:space="0" w:color="auto"/>
              <w:right w:val="single" w:sz="6" w:space="0" w:color="auto"/>
            </w:tcBorders>
          </w:tcPr>
          <w:p w14:paraId="1B833C42" w14:textId="77777777" w:rsidR="001D5AA6" w:rsidRPr="009F7B05" w:rsidRDefault="001D5AA6" w:rsidP="009C4F5C">
            <w:pPr>
              <w:widowControl w:val="0"/>
              <w:autoSpaceDE w:val="0"/>
              <w:autoSpaceDN w:val="0"/>
              <w:adjustRightInd w:val="0"/>
            </w:pPr>
            <w:r w:rsidRPr="009F7B05">
              <w:t>Jackson County Library Services</w:t>
            </w:r>
          </w:p>
        </w:tc>
        <w:tc>
          <w:tcPr>
            <w:tcW w:w="1260" w:type="dxa"/>
            <w:tcBorders>
              <w:top w:val="single" w:sz="6" w:space="0" w:color="auto"/>
              <w:left w:val="single" w:sz="6" w:space="0" w:color="auto"/>
              <w:bottom w:val="single" w:sz="6" w:space="0" w:color="auto"/>
              <w:right w:val="single" w:sz="6" w:space="0" w:color="auto"/>
            </w:tcBorders>
          </w:tcPr>
          <w:p w14:paraId="14AB64BB" w14:textId="77777777" w:rsidR="001D5AA6" w:rsidRPr="009F7B05" w:rsidRDefault="001D5AA6" w:rsidP="009C4F5C">
            <w:pPr>
              <w:widowControl w:val="0"/>
              <w:autoSpaceDE w:val="0"/>
              <w:autoSpaceDN w:val="0"/>
              <w:adjustRightInd w:val="0"/>
              <w:jc w:val="right"/>
            </w:pPr>
            <w:r w:rsidRPr="009F7B05">
              <w:t>207,010</w:t>
            </w:r>
          </w:p>
        </w:tc>
        <w:tc>
          <w:tcPr>
            <w:tcW w:w="1800" w:type="dxa"/>
            <w:tcBorders>
              <w:top w:val="single" w:sz="6" w:space="0" w:color="auto"/>
              <w:left w:val="single" w:sz="6" w:space="0" w:color="auto"/>
              <w:bottom w:val="single" w:sz="6" w:space="0" w:color="auto"/>
              <w:right w:val="single" w:sz="6" w:space="0" w:color="auto"/>
            </w:tcBorders>
          </w:tcPr>
          <w:p w14:paraId="1FE93807" w14:textId="1DFD8D8A" w:rsidR="001D5AA6" w:rsidRDefault="001D5AA6" w:rsidP="009C4F5C">
            <w:pPr>
              <w:widowControl w:val="0"/>
              <w:autoSpaceDE w:val="0"/>
              <w:autoSpaceDN w:val="0"/>
              <w:adjustRightInd w:val="0"/>
              <w:jc w:val="right"/>
            </w:pPr>
            <w:r>
              <w:t>14</w:t>
            </w:r>
          </w:p>
        </w:tc>
        <w:tc>
          <w:tcPr>
            <w:tcW w:w="1800" w:type="dxa"/>
            <w:tcBorders>
              <w:top w:val="single" w:sz="6" w:space="0" w:color="auto"/>
              <w:left w:val="single" w:sz="6" w:space="0" w:color="auto"/>
              <w:bottom w:val="single" w:sz="6" w:space="0" w:color="auto"/>
              <w:right w:val="single" w:sz="6" w:space="0" w:color="auto"/>
            </w:tcBorders>
          </w:tcPr>
          <w:p w14:paraId="38B2A8CE" w14:textId="342C3B3C" w:rsidR="001D5AA6" w:rsidRPr="009F7B05" w:rsidRDefault="001D5AA6" w:rsidP="009C4F5C">
            <w:pPr>
              <w:widowControl w:val="0"/>
              <w:autoSpaceDE w:val="0"/>
              <w:autoSpaceDN w:val="0"/>
              <w:adjustRightInd w:val="0"/>
              <w:jc w:val="right"/>
            </w:pPr>
            <w:r>
              <w:t>24</w:t>
            </w:r>
          </w:p>
        </w:tc>
        <w:tc>
          <w:tcPr>
            <w:tcW w:w="1710" w:type="dxa"/>
            <w:tcBorders>
              <w:top w:val="single" w:sz="6" w:space="0" w:color="auto"/>
              <w:left w:val="single" w:sz="6" w:space="0" w:color="auto"/>
              <w:bottom w:val="single" w:sz="6" w:space="0" w:color="auto"/>
              <w:right w:val="single" w:sz="6" w:space="0" w:color="auto"/>
            </w:tcBorders>
          </w:tcPr>
          <w:p w14:paraId="1EFCF38D" w14:textId="39437A43" w:rsidR="001D5AA6" w:rsidRPr="00FB6FF6" w:rsidRDefault="001D5AA6" w:rsidP="009C4F5C">
            <w:pPr>
              <w:widowControl w:val="0"/>
              <w:autoSpaceDE w:val="0"/>
              <w:autoSpaceDN w:val="0"/>
              <w:adjustRightInd w:val="0"/>
              <w:jc w:val="right"/>
            </w:pPr>
            <w:r w:rsidRPr="00FB6FF6">
              <w:t>15,624</w:t>
            </w:r>
          </w:p>
        </w:tc>
        <w:tc>
          <w:tcPr>
            <w:tcW w:w="1710" w:type="dxa"/>
            <w:tcBorders>
              <w:top w:val="single" w:sz="6" w:space="0" w:color="auto"/>
              <w:left w:val="single" w:sz="6" w:space="0" w:color="auto"/>
              <w:bottom w:val="single" w:sz="6" w:space="0" w:color="auto"/>
              <w:right w:val="single" w:sz="6" w:space="0" w:color="auto"/>
            </w:tcBorders>
          </w:tcPr>
          <w:p w14:paraId="3902C146" w14:textId="1DA0056D" w:rsidR="001D5AA6" w:rsidRPr="00FB6FF6" w:rsidRDefault="001D5AA6" w:rsidP="009C4F5C">
            <w:pPr>
              <w:widowControl w:val="0"/>
              <w:autoSpaceDE w:val="0"/>
              <w:autoSpaceDN w:val="0"/>
              <w:adjustRightInd w:val="0"/>
              <w:jc w:val="right"/>
            </w:pPr>
            <w:r w:rsidRPr="00FB6FF6">
              <w:t>$3.13</w:t>
            </w:r>
          </w:p>
        </w:tc>
      </w:tr>
      <w:tr w:rsidR="001D5AA6" w:rsidRPr="009F7B05" w14:paraId="26FB50D8" w14:textId="77777777" w:rsidTr="002B6E78">
        <w:trPr>
          <w:trHeight w:val="240"/>
        </w:trPr>
        <w:tc>
          <w:tcPr>
            <w:tcW w:w="3690" w:type="dxa"/>
            <w:tcBorders>
              <w:top w:val="single" w:sz="6" w:space="0" w:color="auto"/>
              <w:left w:val="single" w:sz="6" w:space="0" w:color="auto"/>
              <w:bottom w:val="single" w:sz="6" w:space="0" w:color="auto"/>
              <w:right w:val="single" w:sz="6" w:space="0" w:color="auto"/>
            </w:tcBorders>
          </w:tcPr>
          <w:p w14:paraId="3583DCD5" w14:textId="77777777" w:rsidR="001D5AA6" w:rsidRPr="009F7B05" w:rsidRDefault="001D5AA6" w:rsidP="009C4F5C">
            <w:pPr>
              <w:widowControl w:val="0"/>
              <w:autoSpaceDE w:val="0"/>
              <w:autoSpaceDN w:val="0"/>
              <w:adjustRightInd w:val="0"/>
            </w:pPr>
            <w:r w:rsidRPr="009F7B05">
              <w:t>Salem Public Library</w:t>
            </w:r>
          </w:p>
        </w:tc>
        <w:tc>
          <w:tcPr>
            <w:tcW w:w="1260" w:type="dxa"/>
            <w:tcBorders>
              <w:top w:val="single" w:sz="6" w:space="0" w:color="auto"/>
              <w:left w:val="single" w:sz="6" w:space="0" w:color="auto"/>
              <w:bottom w:val="single" w:sz="6" w:space="0" w:color="auto"/>
              <w:right w:val="single" w:sz="6" w:space="0" w:color="auto"/>
            </w:tcBorders>
          </w:tcPr>
          <w:p w14:paraId="1EBBA89B" w14:textId="77777777" w:rsidR="001D5AA6" w:rsidRPr="009F7B05" w:rsidRDefault="001D5AA6" w:rsidP="009C4F5C">
            <w:pPr>
              <w:widowControl w:val="0"/>
              <w:autoSpaceDE w:val="0"/>
              <w:autoSpaceDN w:val="0"/>
              <w:adjustRightInd w:val="0"/>
              <w:jc w:val="right"/>
            </w:pPr>
            <w:r w:rsidRPr="009F7B05">
              <w:t>235,256</w:t>
            </w:r>
          </w:p>
        </w:tc>
        <w:tc>
          <w:tcPr>
            <w:tcW w:w="1800" w:type="dxa"/>
            <w:tcBorders>
              <w:top w:val="single" w:sz="6" w:space="0" w:color="auto"/>
              <w:left w:val="single" w:sz="6" w:space="0" w:color="auto"/>
              <w:bottom w:val="single" w:sz="6" w:space="0" w:color="auto"/>
              <w:right w:val="single" w:sz="6" w:space="0" w:color="auto"/>
            </w:tcBorders>
          </w:tcPr>
          <w:p w14:paraId="001DB12E" w14:textId="232BA6AD" w:rsidR="001D5AA6" w:rsidRDefault="001D5AA6" w:rsidP="009C4F5C">
            <w:pPr>
              <w:widowControl w:val="0"/>
              <w:autoSpaceDE w:val="0"/>
              <w:autoSpaceDN w:val="0"/>
              <w:adjustRightInd w:val="0"/>
              <w:jc w:val="right"/>
            </w:pPr>
            <w:r>
              <w:t>1</w:t>
            </w:r>
          </w:p>
        </w:tc>
        <w:tc>
          <w:tcPr>
            <w:tcW w:w="1800" w:type="dxa"/>
            <w:tcBorders>
              <w:top w:val="single" w:sz="6" w:space="0" w:color="auto"/>
              <w:left w:val="single" w:sz="6" w:space="0" w:color="auto"/>
              <w:bottom w:val="single" w:sz="6" w:space="0" w:color="auto"/>
              <w:right w:val="single" w:sz="6" w:space="0" w:color="auto"/>
            </w:tcBorders>
          </w:tcPr>
          <w:p w14:paraId="4D64179B" w14:textId="5117261B" w:rsidR="001D5AA6" w:rsidRPr="009F7B05" w:rsidRDefault="001D5AA6" w:rsidP="009C4F5C">
            <w:pPr>
              <w:widowControl w:val="0"/>
              <w:autoSpaceDE w:val="0"/>
              <w:autoSpaceDN w:val="0"/>
              <w:adjustRightInd w:val="0"/>
              <w:jc w:val="right"/>
            </w:pPr>
            <w:r>
              <w:t>53</w:t>
            </w:r>
          </w:p>
        </w:tc>
        <w:tc>
          <w:tcPr>
            <w:tcW w:w="1710" w:type="dxa"/>
            <w:tcBorders>
              <w:top w:val="single" w:sz="6" w:space="0" w:color="auto"/>
              <w:left w:val="single" w:sz="6" w:space="0" w:color="auto"/>
              <w:bottom w:val="single" w:sz="6" w:space="0" w:color="auto"/>
              <w:right w:val="single" w:sz="6" w:space="0" w:color="auto"/>
            </w:tcBorders>
          </w:tcPr>
          <w:p w14:paraId="600D6F9E" w14:textId="6BFE0EF2" w:rsidR="001D5AA6" w:rsidRPr="00FB6FF6" w:rsidRDefault="001D5AA6" w:rsidP="009C4F5C">
            <w:pPr>
              <w:widowControl w:val="0"/>
              <w:autoSpaceDE w:val="0"/>
              <w:autoSpaceDN w:val="0"/>
              <w:adjustRightInd w:val="0"/>
              <w:jc w:val="right"/>
            </w:pPr>
            <w:r w:rsidRPr="00FB6FF6">
              <w:t>4,416</w:t>
            </w:r>
          </w:p>
        </w:tc>
        <w:tc>
          <w:tcPr>
            <w:tcW w:w="1710" w:type="dxa"/>
            <w:tcBorders>
              <w:top w:val="single" w:sz="6" w:space="0" w:color="auto"/>
              <w:left w:val="single" w:sz="6" w:space="0" w:color="auto"/>
              <w:bottom w:val="single" w:sz="6" w:space="0" w:color="auto"/>
              <w:right w:val="single" w:sz="6" w:space="0" w:color="auto"/>
            </w:tcBorders>
          </w:tcPr>
          <w:p w14:paraId="13EA84F4" w14:textId="6918309A" w:rsidR="001D5AA6" w:rsidRPr="00FB6FF6" w:rsidRDefault="001D5AA6" w:rsidP="009C4F5C">
            <w:pPr>
              <w:widowControl w:val="0"/>
              <w:autoSpaceDE w:val="0"/>
              <w:autoSpaceDN w:val="0"/>
              <w:adjustRightInd w:val="0"/>
              <w:jc w:val="right"/>
            </w:pPr>
            <w:r w:rsidRPr="00FB6FF6">
              <w:t>$2.85</w:t>
            </w:r>
          </w:p>
        </w:tc>
      </w:tr>
      <w:tr w:rsidR="001D5AA6" w:rsidRPr="009F7B05" w14:paraId="473A2036" w14:textId="77777777" w:rsidTr="002B6E78">
        <w:trPr>
          <w:trHeight w:val="240"/>
        </w:trPr>
        <w:tc>
          <w:tcPr>
            <w:tcW w:w="3690" w:type="dxa"/>
            <w:tcBorders>
              <w:top w:val="single" w:sz="6" w:space="0" w:color="auto"/>
              <w:left w:val="single" w:sz="6" w:space="0" w:color="auto"/>
              <w:bottom w:val="single" w:sz="6" w:space="0" w:color="auto"/>
              <w:right w:val="single" w:sz="6" w:space="0" w:color="auto"/>
            </w:tcBorders>
          </w:tcPr>
          <w:p w14:paraId="12593DE5" w14:textId="77777777" w:rsidR="001D5AA6" w:rsidRPr="009F7B05" w:rsidRDefault="001D5AA6" w:rsidP="009C4F5C">
            <w:pPr>
              <w:widowControl w:val="0"/>
              <w:autoSpaceDE w:val="0"/>
              <w:autoSpaceDN w:val="0"/>
              <w:adjustRightInd w:val="0"/>
            </w:pPr>
            <w:r w:rsidRPr="009F7B05">
              <w:t>Multnomah County Library</w:t>
            </w:r>
          </w:p>
        </w:tc>
        <w:tc>
          <w:tcPr>
            <w:tcW w:w="1260" w:type="dxa"/>
            <w:tcBorders>
              <w:top w:val="single" w:sz="6" w:space="0" w:color="auto"/>
              <w:left w:val="single" w:sz="6" w:space="0" w:color="auto"/>
              <w:bottom w:val="single" w:sz="6" w:space="0" w:color="auto"/>
              <w:right w:val="single" w:sz="6" w:space="0" w:color="auto"/>
            </w:tcBorders>
          </w:tcPr>
          <w:p w14:paraId="04A8425A" w14:textId="77777777" w:rsidR="001D5AA6" w:rsidRPr="009F7B05" w:rsidRDefault="001D5AA6" w:rsidP="009C4F5C">
            <w:pPr>
              <w:widowControl w:val="0"/>
              <w:autoSpaceDE w:val="0"/>
              <w:autoSpaceDN w:val="0"/>
              <w:adjustRightInd w:val="0"/>
              <w:jc w:val="right"/>
            </w:pPr>
            <w:r w:rsidRPr="009F7B05">
              <w:t>724,680</w:t>
            </w:r>
          </w:p>
        </w:tc>
        <w:tc>
          <w:tcPr>
            <w:tcW w:w="1800" w:type="dxa"/>
            <w:tcBorders>
              <w:top w:val="single" w:sz="6" w:space="0" w:color="auto"/>
              <w:left w:val="single" w:sz="6" w:space="0" w:color="auto"/>
              <w:bottom w:val="single" w:sz="6" w:space="0" w:color="auto"/>
              <w:right w:val="single" w:sz="6" w:space="0" w:color="auto"/>
            </w:tcBorders>
          </w:tcPr>
          <w:p w14:paraId="6A8E81D1" w14:textId="5CA5EF85" w:rsidR="001D5AA6" w:rsidRDefault="001D5AA6" w:rsidP="009C4F5C">
            <w:pPr>
              <w:widowControl w:val="0"/>
              <w:autoSpaceDE w:val="0"/>
              <w:autoSpaceDN w:val="0"/>
              <w:adjustRightInd w:val="0"/>
              <w:jc w:val="right"/>
            </w:pPr>
            <w:r>
              <w:t>17</w:t>
            </w:r>
          </w:p>
        </w:tc>
        <w:tc>
          <w:tcPr>
            <w:tcW w:w="1800" w:type="dxa"/>
            <w:tcBorders>
              <w:top w:val="single" w:sz="6" w:space="0" w:color="auto"/>
              <w:left w:val="single" w:sz="6" w:space="0" w:color="auto"/>
              <w:bottom w:val="single" w:sz="6" w:space="0" w:color="auto"/>
              <w:right w:val="single" w:sz="6" w:space="0" w:color="auto"/>
            </w:tcBorders>
          </w:tcPr>
          <w:p w14:paraId="3211F27E" w14:textId="0E22DD3F" w:rsidR="001D5AA6" w:rsidRPr="009F7B05" w:rsidRDefault="001D5AA6" w:rsidP="009C4F5C">
            <w:pPr>
              <w:widowControl w:val="0"/>
              <w:autoSpaceDE w:val="0"/>
              <w:autoSpaceDN w:val="0"/>
              <w:adjustRightInd w:val="0"/>
              <w:jc w:val="right"/>
            </w:pPr>
            <w:r>
              <w:t>57</w:t>
            </w:r>
          </w:p>
        </w:tc>
        <w:tc>
          <w:tcPr>
            <w:tcW w:w="1710" w:type="dxa"/>
            <w:tcBorders>
              <w:top w:val="single" w:sz="6" w:space="0" w:color="auto"/>
              <w:left w:val="single" w:sz="6" w:space="0" w:color="auto"/>
              <w:bottom w:val="single" w:sz="6" w:space="0" w:color="auto"/>
              <w:right w:val="single" w:sz="6" w:space="0" w:color="auto"/>
            </w:tcBorders>
          </w:tcPr>
          <w:p w14:paraId="09FE06AC" w14:textId="20D7F295" w:rsidR="001D5AA6" w:rsidRPr="00FB6FF6" w:rsidRDefault="001D5AA6" w:rsidP="009C4F5C">
            <w:pPr>
              <w:widowControl w:val="0"/>
              <w:autoSpaceDE w:val="0"/>
              <w:autoSpaceDN w:val="0"/>
              <w:adjustRightInd w:val="0"/>
              <w:jc w:val="right"/>
            </w:pPr>
            <w:r w:rsidRPr="00FB6FF6">
              <w:t>50,591</w:t>
            </w:r>
          </w:p>
        </w:tc>
        <w:tc>
          <w:tcPr>
            <w:tcW w:w="1710" w:type="dxa"/>
            <w:tcBorders>
              <w:top w:val="single" w:sz="6" w:space="0" w:color="auto"/>
              <w:left w:val="single" w:sz="6" w:space="0" w:color="auto"/>
              <w:bottom w:val="single" w:sz="6" w:space="0" w:color="auto"/>
              <w:right w:val="single" w:sz="6" w:space="0" w:color="auto"/>
            </w:tcBorders>
          </w:tcPr>
          <w:p w14:paraId="75909892" w14:textId="7E7FDAE9" w:rsidR="001D5AA6" w:rsidRPr="00FB6FF6" w:rsidRDefault="001D5AA6" w:rsidP="009C4F5C">
            <w:pPr>
              <w:widowControl w:val="0"/>
              <w:autoSpaceDE w:val="0"/>
              <w:autoSpaceDN w:val="0"/>
              <w:adjustRightInd w:val="0"/>
              <w:jc w:val="right"/>
            </w:pPr>
            <w:r w:rsidRPr="00FB6FF6">
              <w:t>$2.36</w:t>
            </w:r>
          </w:p>
        </w:tc>
      </w:tr>
      <w:tr w:rsidR="001D5AA6" w:rsidRPr="009F7B05" w14:paraId="4D7CC029" w14:textId="77777777" w:rsidTr="002B6E78">
        <w:trPr>
          <w:trHeight w:val="260"/>
        </w:trPr>
        <w:tc>
          <w:tcPr>
            <w:tcW w:w="3690" w:type="dxa"/>
            <w:tcBorders>
              <w:top w:val="single" w:sz="6" w:space="0" w:color="auto"/>
              <w:left w:val="single" w:sz="6" w:space="0" w:color="auto"/>
              <w:bottom w:val="single" w:sz="6" w:space="0" w:color="auto"/>
              <w:right w:val="single" w:sz="6" w:space="0" w:color="auto"/>
            </w:tcBorders>
          </w:tcPr>
          <w:p w14:paraId="1BF2852C" w14:textId="77777777" w:rsidR="001D5AA6" w:rsidRPr="009F7B05" w:rsidRDefault="001D5AA6" w:rsidP="009C4F5C">
            <w:pPr>
              <w:widowControl w:val="0"/>
              <w:autoSpaceDE w:val="0"/>
              <w:autoSpaceDN w:val="0"/>
              <w:adjustRightInd w:val="0"/>
              <w:jc w:val="right"/>
              <w:rPr>
                <w:b/>
                <w:bCs/>
              </w:rPr>
            </w:pPr>
            <w:r w:rsidRPr="009F7B05">
              <w:rPr>
                <w:b/>
                <w:bCs/>
              </w:rPr>
              <w:t>Average</w:t>
            </w:r>
          </w:p>
        </w:tc>
        <w:tc>
          <w:tcPr>
            <w:tcW w:w="1260" w:type="dxa"/>
            <w:tcBorders>
              <w:top w:val="single" w:sz="6" w:space="0" w:color="auto"/>
              <w:left w:val="single" w:sz="6" w:space="0" w:color="auto"/>
              <w:bottom w:val="single" w:sz="6" w:space="0" w:color="auto"/>
              <w:right w:val="single" w:sz="6" w:space="0" w:color="auto"/>
            </w:tcBorders>
          </w:tcPr>
          <w:p w14:paraId="41EB9C63" w14:textId="77777777" w:rsidR="001D5AA6" w:rsidRPr="009F7B05" w:rsidRDefault="001D5AA6" w:rsidP="009C4F5C">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2B072F44" w14:textId="77777777" w:rsidR="001D5AA6" w:rsidRPr="009C4F5C" w:rsidRDefault="001D5AA6" w:rsidP="009C4F5C">
            <w:pPr>
              <w:widowControl w:val="0"/>
              <w:autoSpaceDE w:val="0"/>
              <w:autoSpaceDN w:val="0"/>
              <w:adjustRightInd w:val="0"/>
              <w:jc w:val="right"/>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71303356" w14:textId="78172584" w:rsidR="001D5AA6" w:rsidRPr="009C4F5C" w:rsidRDefault="001D5AA6" w:rsidP="009C4F5C">
            <w:pPr>
              <w:widowControl w:val="0"/>
              <w:autoSpaceDE w:val="0"/>
              <w:autoSpaceDN w:val="0"/>
              <w:adjustRightInd w:val="0"/>
              <w:jc w:val="right"/>
              <w:rPr>
                <w:b/>
              </w:rPr>
            </w:pPr>
            <w:r w:rsidRPr="009C4F5C">
              <w:rPr>
                <w:b/>
              </w:rPr>
              <w:t>54.7</w:t>
            </w:r>
          </w:p>
        </w:tc>
        <w:tc>
          <w:tcPr>
            <w:tcW w:w="1710" w:type="dxa"/>
            <w:tcBorders>
              <w:top w:val="single" w:sz="6" w:space="0" w:color="auto"/>
              <w:left w:val="single" w:sz="6" w:space="0" w:color="auto"/>
              <w:bottom w:val="single" w:sz="6" w:space="0" w:color="auto"/>
              <w:right w:val="single" w:sz="6" w:space="0" w:color="auto"/>
            </w:tcBorders>
          </w:tcPr>
          <w:p w14:paraId="0B24D87E" w14:textId="77777777" w:rsidR="001D5AA6" w:rsidRPr="00FB6FF6" w:rsidRDefault="001D5AA6" w:rsidP="009C4F5C">
            <w:pPr>
              <w:widowControl w:val="0"/>
              <w:autoSpaceDE w:val="0"/>
              <w:autoSpaceDN w:val="0"/>
              <w:adjustRightInd w:val="0"/>
              <w:jc w:val="right"/>
              <w:rPr>
                <w:b/>
                <w:bCs/>
              </w:rPr>
            </w:pPr>
          </w:p>
        </w:tc>
        <w:tc>
          <w:tcPr>
            <w:tcW w:w="1710" w:type="dxa"/>
            <w:tcBorders>
              <w:top w:val="single" w:sz="6" w:space="0" w:color="auto"/>
              <w:left w:val="single" w:sz="6" w:space="0" w:color="auto"/>
              <w:bottom w:val="single" w:sz="6" w:space="0" w:color="auto"/>
              <w:right w:val="single" w:sz="6" w:space="0" w:color="auto"/>
            </w:tcBorders>
          </w:tcPr>
          <w:p w14:paraId="612E6F9D" w14:textId="7152A8DB" w:rsidR="001D5AA6" w:rsidRPr="00FB6FF6" w:rsidRDefault="001D5AA6" w:rsidP="009C4F5C">
            <w:pPr>
              <w:widowControl w:val="0"/>
              <w:autoSpaceDE w:val="0"/>
              <w:autoSpaceDN w:val="0"/>
              <w:adjustRightInd w:val="0"/>
              <w:jc w:val="right"/>
              <w:rPr>
                <w:b/>
                <w:bCs/>
              </w:rPr>
            </w:pPr>
            <w:r w:rsidRPr="00FB6FF6">
              <w:rPr>
                <w:b/>
                <w:bCs/>
              </w:rPr>
              <w:t>$2.63</w:t>
            </w:r>
          </w:p>
        </w:tc>
      </w:tr>
    </w:tbl>
    <w:p w14:paraId="47252FEF" w14:textId="72A1CEB1" w:rsidR="0083083A" w:rsidRDefault="0083083A" w:rsidP="00FA530C">
      <w:pPr>
        <w:ind w:left="1440"/>
        <w:sectPr w:rsidR="0083083A" w:rsidSect="00457CD2">
          <w:pgSz w:w="15840" w:h="12240" w:orient="landscape"/>
          <w:pgMar w:top="720" w:right="720" w:bottom="720" w:left="720" w:header="720" w:footer="720" w:gutter="0"/>
          <w:cols w:space="720"/>
          <w:docGrid w:linePitch="360"/>
        </w:sectPr>
      </w:pPr>
    </w:p>
    <w:p w14:paraId="4AFFFC52" w14:textId="77777777" w:rsidR="00A03605" w:rsidRDefault="00A03605" w:rsidP="00BF4320">
      <w:pPr>
        <w:ind w:left="1440"/>
      </w:pPr>
    </w:p>
    <w:p w14:paraId="2E81C6A0" w14:textId="77777777" w:rsidR="00BF4320" w:rsidRDefault="00BF4320" w:rsidP="00BF4320">
      <w:pPr>
        <w:ind w:left="1440"/>
      </w:pPr>
    </w:p>
    <w:p w14:paraId="2C5708EF" w14:textId="4473B1CD" w:rsidR="00BF4320" w:rsidRDefault="00BF4320" w:rsidP="00BF4320">
      <w:pPr>
        <w:ind w:left="720"/>
      </w:pPr>
      <w:r>
        <w:t xml:space="preserve">All data are from the Oregon State Library’s annual statistics appearing as </w:t>
      </w:r>
      <w:proofErr w:type="gramStart"/>
      <w:r>
        <w:t xml:space="preserve">the  </w:t>
      </w:r>
      <w:r>
        <w:rPr>
          <w:i/>
        </w:rPr>
        <w:t>2009</w:t>
      </w:r>
      <w:proofErr w:type="gramEnd"/>
      <w:r>
        <w:rPr>
          <w:i/>
        </w:rPr>
        <w:t>-2010 Oregon Public Library Spreadsheet</w:t>
      </w:r>
      <w:r>
        <w:t xml:space="preserve">.  </w:t>
      </w:r>
    </w:p>
    <w:p w14:paraId="43ADBDC5" w14:textId="15E4E44C" w:rsidR="00BF4320" w:rsidRDefault="00BF4320" w:rsidP="002B6E78">
      <w:pPr>
        <w:ind w:left="720"/>
      </w:pPr>
      <w:r>
        <w:t>Available at: http://oregon.gov/OSL/LD/statsploregon.shtm</w:t>
      </w:r>
    </w:p>
    <w:sectPr w:rsidR="00BF4320" w:rsidSect="0083083A">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263B4" w14:textId="77777777" w:rsidR="001D5AA6" w:rsidRDefault="001D5AA6">
      <w:r>
        <w:separator/>
      </w:r>
    </w:p>
  </w:endnote>
  <w:endnote w:type="continuationSeparator" w:id="0">
    <w:p w14:paraId="4B1FBA2E" w14:textId="77777777" w:rsidR="001D5AA6" w:rsidRDefault="001D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FAD4E" w14:textId="77777777" w:rsidR="001D5AA6" w:rsidRDefault="001D5AA6">
      <w:r>
        <w:separator/>
      </w:r>
    </w:p>
  </w:footnote>
  <w:footnote w:type="continuationSeparator" w:id="0">
    <w:p w14:paraId="33577CAD" w14:textId="77777777" w:rsidR="001D5AA6" w:rsidRDefault="001D5AA6">
      <w:r>
        <w:continuationSeparator/>
      </w:r>
    </w:p>
  </w:footnote>
  <w:footnote w:id="1">
    <w:p w14:paraId="54B18463" w14:textId="77777777" w:rsidR="001D5AA6" w:rsidRPr="001D5AA6" w:rsidRDefault="001D5AA6" w:rsidP="00CB7D5E">
      <w:pPr>
        <w:pStyle w:val="FootnoteTextA"/>
        <w:rPr>
          <w:rStyle w:val="FootnoteReference"/>
        </w:rPr>
      </w:pPr>
    </w:p>
    <w:p w14:paraId="5008B174" w14:textId="1EE30C0E" w:rsidR="001D5AA6" w:rsidRDefault="001D5AA6" w:rsidP="00CB7D5E">
      <w:pPr>
        <w:pStyle w:val="FootnoteTextA"/>
        <w:rPr>
          <w:rFonts w:eastAsia="Times New Roman"/>
          <w:color w:val="auto"/>
          <w:lang w:bidi="x-none"/>
        </w:rPr>
      </w:pPr>
      <w:r>
        <w:rPr>
          <w:rStyle w:val="FootnoteReference"/>
        </w:rPr>
        <w:footnoteRef/>
      </w:r>
      <w:r>
        <w:t xml:space="preserve"> </w:t>
      </w:r>
      <w:proofErr w:type="gramStart"/>
      <w:r>
        <w:t>Oregon State Library.</w:t>
      </w:r>
      <w:proofErr w:type="gramEnd"/>
      <w:r>
        <w:t xml:space="preserve"> 2011.  </w:t>
      </w:r>
      <w:r>
        <w:rPr>
          <w:i/>
        </w:rPr>
        <w:t>2009-2010 Oregon Public Library Spreadsheet</w:t>
      </w:r>
      <w:r>
        <w:t>.  Available at: http://oregon.gov/OSL/LD/statsploregon.shtm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F50A2"/>
    <w:multiLevelType w:val="hybridMultilevel"/>
    <w:tmpl w:val="539C1520"/>
    <w:lvl w:ilvl="0" w:tplc="33B620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38"/>
    <w:rsid w:val="000334BC"/>
    <w:rsid w:val="00104DC8"/>
    <w:rsid w:val="0011022B"/>
    <w:rsid w:val="0014719E"/>
    <w:rsid w:val="001A1E72"/>
    <w:rsid w:val="001D5AA6"/>
    <w:rsid w:val="00226F0A"/>
    <w:rsid w:val="002B6E78"/>
    <w:rsid w:val="002E76EE"/>
    <w:rsid w:val="00330F90"/>
    <w:rsid w:val="003746D4"/>
    <w:rsid w:val="00387235"/>
    <w:rsid w:val="003D61AC"/>
    <w:rsid w:val="00455BAC"/>
    <w:rsid w:val="00457CD2"/>
    <w:rsid w:val="004A217E"/>
    <w:rsid w:val="004B08A8"/>
    <w:rsid w:val="005A325B"/>
    <w:rsid w:val="005F6202"/>
    <w:rsid w:val="0066612E"/>
    <w:rsid w:val="00676BCD"/>
    <w:rsid w:val="006A34BA"/>
    <w:rsid w:val="00732B51"/>
    <w:rsid w:val="0083083A"/>
    <w:rsid w:val="008A6C9C"/>
    <w:rsid w:val="009C4F5C"/>
    <w:rsid w:val="009F7B05"/>
    <w:rsid w:val="00A03605"/>
    <w:rsid w:val="00B52E15"/>
    <w:rsid w:val="00BF4320"/>
    <w:rsid w:val="00C11CEB"/>
    <w:rsid w:val="00C159E8"/>
    <w:rsid w:val="00C27C1D"/>
    <w:rsid w:val="00C70CFE"/>
    <w:rsid w:val="00C86998"/>
    <w:rsid w:val="00CB0463"/>
    <w:rsid w:val="00CB7D5E"/>
    <w:rsid w:val="00D05773"/>
    <w:rsid w:val="00D654CB"/>
    <w:rsid w:val="00D80004"/>
    <w:rsid w:val="00D83C38"/>
    <w:rsid w:val="00DB15D9"/>
    <w:rsid w:val="00F00F0B"/>
    <w:rsid w:val="00F22C71"/>
    <w:rsid w:val="00F827F0"/>
    <w:rsid w:val="00FA530C"/>
    <w:rsid w:val="00FB6FF6"/>
    <w:rsid w:val="00FC69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0D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3C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83C38"/>
    <w:rPr>
      <w:sz w:val="20"/>
      <w:szCs w:val="20"/>
    </w:rPr>
  </w:style>
  <w:style w:type="character" w:customStyle="1" w:styleId="FootnoteTextChar">
    <w:name w:val="Footnote Text Char"/>
    <w:basedOn w:val="DefaultParagraphFont"/>
    <w:link w:val="FootnoteText"/>
    <w:semiHidden/>
    <w:rsid w:val="00D83C38"/>
    <w:rPr>
      <w:rFonts w:ascii="Times New Roman" w:eastAsia="Times New Roman" w:hAnsi="Times New Roman" w:cs="Times New Roman"/>
      <w:sz w:val="20"/>
      <w:szCs w:val="20"/>
    </w:rPr>
  </w:style>
  <w:style w:type="character" w:styleId="FootnoteReference">
    <w:name w:val="footnote reference"/>
    <w:basedOn w:val="DefaultParagraphFont"/>
    <w:rsid w:val="00D83C38"/>
    <w:rPr>
      <w:vertAlign w:val="superscript"/>
    </w:rPr>
  </w:style>
  <w:style w:type="character" w:styleId="Hyperlink">
    <w:name w:val="Hyperlink"/>
    <w:basedOn w:val="DefaultParagraphFont"/>
    <w:rsid w:val="00D83C38"/>
    <w:rPr>
      <w:color w:val="0000FF"/>
      <w:u w:val="single"/>
    </w:rPr>
  </w:style>
  <w:style w:type="paragraph" w:customStyle="1" w:styleId="FootnoteTextA">
    <w:name w:val="Footnote Text A"/>
    <w:rsid w:val="00CB7D5E"/>
    <w:rPr>
      <w:rFonts w:ascii="Times New Roman" w:eastAsia="ヒラギノ角ゴ Pro W3" w:hAnsi="Times New Roman"/>
      <w:color w:val="000000"/>
    </w:rPr>
  </w:style>
  <w:style w:type="character" w:styleId="EndnoteReference">
    <w:name w:val="endnote reference"/>
    <w:basedOn w:val="DefaultParagraphFont"/>
    <w:uiPriority w:val="99"/>
    <w:semiHidden/>
    <w:unhideWhenUsed/>
    <w:rsid w:val="001D5AA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3C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83C38"/>
    <w:rPr>
      <w:sz w:val="20"/>
      <w:szCs w:val="20"/>
    </w:rPr>
  </w:style>
  <w:style w:type="character" w:customStyle="1" w:styleId="FootnoteTextChar">
    <w:name w:val="Footnote Text Char"/>
    <w:basedOn w:val="DefaultParagraphFont"/>
    <w:link w:val="FootnoteText"/>
    <w:semiHidden/>
    <w:rsid w:val="00D83C38"/>
    <w:rPr>
      <w:rFonts w:ascii="Times New Roman" w:eastAsia="Times New Roman" w:hAnsi="Times New Roman" w:cs="Times New Roman"/>
      <w:sz w:val="20"/>
      <w:szCs w:val="20"/>
    </w:rPr>
  </w:style>
  <w:style w:type="character" w:styleId="FootnoteReference">
    <w:name w:val="footnote reference"/>
    <w:basedOn w:val="DefaultParagraphFont"/>
    <w:rsid w:val="00D83C38"/>
    <w:rPr>
      <w:vertAlign w:val="superscript"/>
    </w:rPr>
  </w:style>
  <w:style w:type="character" w:styleId="Hyperlink">
    <w:name w:val="Hyperlink"/>
    <w:basedOn w:val="DefaultParagraphFont"/>
    <w:rsid w:val="00D83C38"/>
    <w:rPr>
      <w:color w:val="0000FF"/>
      <w:u w:val="single"/>
    </w:rPr>
  </w:style>
  <w:style w:type="paragraph" w:customStyle="1" w:styleId="FootnoteTextA">
    <w:name w:val="Footnote Text A"/>
    <w:rsid w:val="00CB7D5E"/>
    <w:rPr>
      <w:rFonts w:ascii="Times New Roman" w:eastAsia="ヒラギノ角ゴ Pro W3" w:hAnsi="Times New Roman"/>
      <w:color w:val="000000"/>
    </w:rPr>
  </w:style>
  <w:style w:type="character" w:styleId="EndnoteReference">
    <w:name w:val="endnote reference"/>
    <w:basedOn w:val="DefaultParagraphFont"/>
    <w:uiPriority w:val="99"/>
    <w:semiHidden/>
    <w:unhideWhenUsed/>
    <w:rsid w:val="001D5A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503">
      <w:bodyDiv w:val="1"/>
      <w:marLeft w:val="0"/>
      <w:marRight w:val="0"/>
      <w:marTop w:val="0"/>
      <w:marBottom w:val="0"/>
      <w:divBdr>
        <w:top w:val="none" w:sz="0" w:space="0" w:color="auto"/>
        <w:left w:val="none" w:sz="0" w:space="0" w:color="auto"/>
        <w:bottom w:val="none" w:sz="0" w:space="0" w:color="auto"/>
        <w:right w:val="none" w:sz="0" w:space="0" w:color="auto"/>
      </w:divBdr>
    </w:div>
    <w:div w:id="556891186">
      <w:bodyDiv w:val="1"/>
      <w:marLeft w:val="0"/>
      <w:marRight w:val="0"/>
      <w:marTop w:val="0"/>
      <w:marBottom w:val="0"/>
      <w:divBdr>
        <w:top w:val="none" w:sz="0" w:space="0" w:color="auto"/>
        <w:left w:val="none" w:sz="0" w:space="0" w:color="auto"/>
        <w:bottom w:val="none" w:sz="0" w:space="0" w:color="auto"/>
        <w:right w:val="none" w:sz="0" w:space="0" w:color="auto"/>
      </w:divBdr>
    </w:div>
    <w:div w:id="558442786">
      <w:bodyDiv w:val="1"/>
      <w:marLeft w:val="0"/>
      <w:marRight w:val="0"/>
      <w:marTop w:val="0"/>
      <w:marBottom w:val="0"/>
      <w:divBdr>
        <w:top w:val="none" w:sz="0" w:space="0" w:color="auto"/>
        <w:left w:val="none" w:sz="0" w:space="0" w:color="auto"/>
        <w:bottom w:val="none" w:sz="0" w:space="0" w:color="auto"/>
        <w:right w:val="none" w:sz="0" w:space="0" w:color="auto"/>
      </w:divBdr>
    </w:div>
    <w:div w:id="685330919">
      <w:bodyDiv w:val="1"/>
      <w:marLeft w:val="0"/>
      <w:marRight w:val="0"/>
      <w:marTop w:val="0"/>
      <w:marBottom w:val="0"/>
      <w:divBdr>
        <w:top w:val="none" w:sz="0" w:space="0" w:color="auto"/>
        <w:left w:val="none" w:sz="0" w:space="0" w:color="auto"/>
        <w:bottom w:val="none" w:sz="0" w:space="0" w:color="auto"/>
        <w:right w:val="none" w:sz="0" w:space="0" w:color="auto"/>
      </w:divBdr>
    </w:div>
    <w:div w:id="1516727211">
      <w:bodyDiv w:val="1"/>
      <w:marLeft w:val="0"/>
      <w:marRight w:val="0"/>
      <w:marTop w:val="0"/>
      <w:marBottom w:val="0"/>
      <w:divBdr>
        <w:top w:val="none" w:sz="0" w:space="0" w:color="auto"/>
        <w:left w:val="none" w:sz="0" w:space="0" w:color="auto"/>
        <w:bottom w:val="none" w:sz="0" w:space="0" w:color="auto"/>
        <w:right w:val="none" w:sz="0" w:space="0" w:color="auto"/>
      </w:divBdr>
    </w:div>
    <w:div w:id="1554855059">
      <w:bodyDiv w:val="1"/>
      <w:marLeft w:val="0"/>
      <w:marRight w:val="0"/>
      <w:marTop w:val="0"/>
      <w:marBottom w:val="0"/>
      <w:divBdr>
        <w:top w:val="none" w:sz="0" w:space="0" w:color="auto"/>
        <w:left w:val="none" w:sz="0" w:space="0" w:color="auto"/>
        <w:bottom w:val="none" w:sz="0" w:space="0" w:color="auto"/>
        <w:right w:val="none" w:sz="0" w:space="0" w:color="auto"/>
      </w:divBdr>
    </w:div>
    <w:div w:id="1905292750">
      <w:bodyDiv w:val="1"/>
      <w:marLeft w:val="0"/>
      <w:marRight w:val="0"/>
      <w:marTop w:val="0"/>
      <w:marBottom w:val="0"/>
      <w:divBdr>
        <w:top w:val="none" w:sz="0" w:space="0" w:color="auto"/>
        <w:left w:val="none" w:sz="0" w:space="0" w:color="auto"/>
        <w:bottom w:val="none" w:sz="0" w:space="0" w:color="auto"/>
        <w:right w:val="none" w:sz="0" w:space="0" w:color="auto"/>
      </w:divBdr>
    </w:div>
    <w:div w:id="1919752440">
      <w:bodyDiv w:val="1"/>
      <w:marLeft w:val="0"/>
      <w:marRight w:val="0"/>
      <w:marTop w:val="0"/>
      <w:marBottom w:val="0"/>
      <w:divBdr>
        <w:top w:val="none" w:sz="0" w:space="0" w:color="auto"/>
        <w:left w:val="none" w:sz="0" w:space="0" w:color="auto"/>
        <w:bottom w:val="none" w:sz="0" w:space="0" w:color="auto"/>
        <w:right w:val="none" w:sz="0" w:space="0" w:color="auto"/>
      </w:divBdr>
    </w:div>
    <w:div w:id="19793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6328</CharactersWithSpaces>
  <SharedDoc>false</SharedDoc>
  <HLinks>
    <vt:vector size="12" baseType="variant">
      <vt:variant>
        <vt:i4>393222</vt:i4>
      </vt:variant>
      <vt:variant>
        <vt:i4>3</vt:i4>
      </vt:variant>
      <vt:variant>
        <vt:i4>0</vt:i4>
      </vt:variant>
      <vt:variant>
        <vt:i4>5</vt:i4>
      </vt:variant>
      <vt:variant>
        <vt:lpwstr>http://nces.ed.gov/surveys/libraries/compare/index.asp?LibraryType=Public</vt:lpwstr>
      </vt:variant>
      <vt:variant>
        <vt:lpwstr/>
      </vt:variant>
      <vt:variant>
        <vt:i4>2490423</vt:i4>
      </vt:variant>
      <vt:variant>
        <vt:i4>0</vt:i4>
      </vt:variant>
      <vt:variant>
        <vt:i4>0</vt:i4>
      </vt:variant>
      <vt:variant>
        <vt:i4>5</vt:i4>
      </vt:variant>
      <vt:variant>
        <vt:lpwstr>http://www.libraryjournal.com/article/CA456252.html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Webster</dc:creator>
  <cp:keywords/>
  <cp:lastModifiedBy>Janet Webster</cp:lastModifiedBy>
  <cp:revision>2</cp:revision>
  <cp:lastPrinted>2011-09-11T22:41:00Z</cp:lastPrinted>
  <dcterms:created xsi:type="dcterms:W3CDTF">2011-09-13T00:02:00Z</dcterms:created>
  <dcterms:modified xsi:type="dcterms:W3CDTF">2011-09-13T00:02:00Z</dcterms:modified>
</cp:coreProperties>
</file>